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AF" w:rsidRPr="00D609A2" w:rsidRDefault="0027635F" w:rsidP="0027635F">
      <w:pPr>
        <w:pStyle w:val="Title"/>
        <w:tabs>
          <w:tab w:val="left" w:pos="6521"/>
        </w:tabs>
        <w:ind w:left="720" w:firstLine="720"/>
        <w:jc w:val="left"/>
        <w:rPr>
          <w:rFonts w:ascii="Tahoma" w:hAnsi="Tahoma" w:cs="Tahoma"/>
          <w:sz w:val="24"/>
          <w:szCs w:val="24"/>
        </w:rPr>
      </w:pPr>
      <w:r>
        <w:rPr>
          <w:rFonts w:ascii="Tahoma" w:hAnsi="Tahoma" w:cs="Tahoma"/>
          <w:sz w:val="24"/>
          <w:szCs w:val="24"/>
        </w:rPr>
        <w:t xml:space="preserve">         </w:t>
      </w:r>
      <w:r w:rsidR="005527AF" w:rsidRPr="00D609A2">
        <w:rPr>
          <w:rFonts w:ascii="Tahoma" w:hAnsi="Tahoma" w:cs="Tahoma"/>
          <w:sz w:val="24"/>
          <w:szCs w:val="24"/>
        </w:rPr>
        <w:t>SENTENCE REVIEW COMMISSIONERS</w:t>
      </w:r>
    </w:p>
    <w:p w:rsidR="005527AF" w:rsidRPr="00D609A2" w:rsidRDefault="007F707B" w:rsidP="00D609A2">
      <w:pPr>
        <w:jc w:val="center"/>
        <w:rPr>
          <w:rFonts w:ascii="Tahoma" w:hAnsi="Tahoma" w:cs="Tahoma"/>
          <w:b/>
          <w:sz w:val="24"/>
          <w:szCs w:val="24"/>
          <w:lang w:val="en-GB"/>
        </w:rPr>
      </w:pPr>
      <w:r w:rsidRPr="00D609A2">
        <w:rPr>
          <w:rFonts w:ascii="Tahoma" w:hAnsi="Tahoma" w:cs="Tahoma"/>
          <w:b/>
          <w:sz w:val="24"/>
          <w:szCs w:val="24"/>
          <w:lang w:val="en-GB"/>
        </w:rPr>
        <w:t>FEE STRUCTURE FOR THE APPLICATION OF LEGAL AID</w:t>
      </w:r>
    </w:p>
    <w:p w:rsidR="00DA18E5" w:rsidRPr="00D609A2" w:rsidRDefault="00DA18E5" w:rsidP="00D609A2">
      <w:pPr>
        <w:jc w:val="center"/>
        <w:rPr>
          <w:rFonts w:ascii="Tahoma" w:hAnsi="Tahoma" w:cs="Tahoma"/>
          <w:sz w:val="24"/>
          <w:szCs w:val="24"/>
          <w:lang w:val="en-GB"/>
        </w:rPr>
      </w:pPr>
    </w:p>
    <w:p w:rsidR="00DA18E5" w:rsidRPr="00D609A2" w:rsidRDefault="00DA18E5">
      <w:pPr>
        <w:jc w:val="center"/>
        <w:rPr>
          <w:rFonts w:ascii="Tahoma" w:hAnsi="Tahoma" w:cs="Tahoma"/>
          <w:sz w:val="24"/>
          <w:szCs w:val="24"/>
          <w:lang w:val="en-GB"/>
        </w:rPr>
      </w:pPr>
    </w:p>
    <w:p w:rsidR="0027635F" w:rsidRDefault="0027635F" w:rsidP="00DB61B0">
      <w:pPr>
        <w:jc w:val="both"/>
        <w:rPr>
          <w:rFonts w:ascii="Tahoma" w:hAnsi="Tahoma" w:cs="Tahoma"/>
          <w:b/>
          <w:sz w:val="24"/>
          <w:szCs w:val="24"/>
          <w:lang w:val="en-GB"/>
        </w:rPr>
      </w:pPr>
    </w:p>
    <w:p w:rsidR="000B3FF2" w:rsidRPr="00D609A2" w:rsidRDefault="000B3FF2" w:rsidP="00DB61B0">
      <w:pPr>
        <w:jc w:val="both"/>
        <w:rPr>
          <w:rFonts w:ascii="Tahoma" w:hAnsi="Tahoma" w:cs="Tahoma"/>
          <w:b/>
          <w:sz w:val="24"/>
          <w:szCs w:val="24"/>
          <w:lang w:val="en-GB"/>
        </w:rPr>
      </w:pPr>
      <w:r w:rsidRPr="00D609A2">
        <w:rPr>
          <w:rFonts w:ascii="Tahoma" w:hAnsi="Tahoma" w:cs="Tahoma"/>
          <w:b/>
          <w:sz w:val="24"/>
          <w:szCs w:val="24"/>
          <w:lang w:val="en-GB"/>
        </w:rPr>
        <w:t>1.0</w:t>
      </w:r>
      <w:r w:rsidRPr="00D609A2">
        <w:rPr>
          <w:rFonts w:ascii="Tahoma" w:hAnsi="Tahoma" w:cs="Tahoma"/>
          <w:b/>
          <w:sz w:val="24"/>
          <w:szCs w:val="24"/>
          <w:lang w:val="en-GB"/>
        </w:rPr>
        <w:tab/>
        <w:t>INTRODUCTION</w:t>
      </w:r>
    </w:p>
    <w:p w:rsidR="000B3FF2" w:rsidRPr="00D609A2" w:rsidRDefault="000B3FF2" w:rsidP="00DB61B0">
      <w:pPr>
        <w:jc w:val="both"/>
        <w:rPr>
          <w:rFonts w:ascii="Tahoma" w:hAnsi="Tahoma" w:cs="Tahoma"/>
          <w:b/>
          <w:sz w:val="24"/>
          <w:szCs w:val="24"/>
          <w:lang w:val="en-GB"/>
        </w:rPr>
      </w:pPr>
    </w:p>
    <w:p w:rsidR="000B3FF2" w:rsidRPr="00D609A2" w:rsidRDefault="000B3FF2" w:rsidP="0027635F">
      <w:pPr>
        <w:spacing w:line="360" w:lineRule="auto"/>
        <w:jc w:val="both"/>
        <w:rPr>
          <w:rFonts w:ascii="Tahoma" w:hAnsi="Tahoma" w:cs="Tahoma"/>
          <w:sz w:val="24"/>
          <w:szCs w:val="24"/>
          <w:lang w:val="en-GB"/>
        </w:rPr>
      </w:pPr>
      <w:r w:rsidRPr="00D609A2">
        <w:rPr>
          <w:rFonts w:ascii="Tahoma" w:hAnsi="Tahoma" w:cs="Tahoma"/>
          <w:sz w:val="24"/>
          <w:szCs w:val="24"/>
          <w:lang w:val="en-GB"/>
        </w:rPr>
        <w:t>1.1</w:t>
      </w:r>
      <w:r w:rsidRPr="00D609A2">
        <w:rPr>
          <w:rFonts w:ascii="Tahoma" w:hAnsi="Tahoma" w:cs="Tahoma"/>
          <w:sz w:val="24"/>
          <w:szCs w:val="24"/>
          <w:lang w:val="en-GB"/>
        </w:rPr>
        <w:tab/>
      </w:r>
      <w:r w:rsidR="003F3A95" w:rsidRPr="00D609A2">
        <w:rPr>
          <w:rFonts w:ascii="Tahoma" w:hAnsi="Tahoma" w:cs="Tahoma"/>
          <w:sz w:val="24"/>
          <w:szCs w:val="24"/>
          <w:lang w:val="en-GB"/>
        </w:rPr>
        <w:t xml:space="preserve">This </w:t>
      </w:r>
      <w:r w:rsidR="007F707B" w:rsidRPr="00D609A2">
        <w:rPr>
          <w:rFonts w:ascii="Tahoma" w:hAnsi="Tahoma" w:cs="Tahoma"/>
          <w:sz w:val="24"/>
          <w:szCs w:val="24"/>
          <w:lang w:val="en-GB"/>
        </w:rPr>
        <w:t xml:space="preserve">document </w:t>
      </w:r>
      <w:r w:rsidR="003F3A95" w:rsidRPr="00D609A2">
        <w:rPr>
          <w:rFonts w:ascii="Tahoma" w:hAnsi="Tahoma" w:cs="Tahoma"/>
          <w:sz w:val="24"/>
          <w:szCs w:val="24"/>
          <w:lang w:val="en-GB"/>
        </w:rPr>
        <w:t xml:space="preserve">sets out the extent to which and the terms </w:t>
      </w:r>
      <w:r w:rsidR="00DA18E5" w:rsidRPr="00D609A2">
        <w:rPr>
          <w:rFonts w:ascii="Tahoma" w:hAnsi="Tahoma" w:cs="Tahoma"/>
          <w:sz w:val="24"/>
          <w:szCs w:val="24"/>
          <w:lang w:val="en-GB"/>
        </w:rPr>
        <w:t>and conditions on which legal aid directions are made in respect of legal advice or representation</w:t>
      </w:r>
      <w:r w:rsidR="0065585E" w:rsidRPr="00D609A2">
        <w:rPr>
          <w:rFonts w:ascii="Tahoma" w:hAnsi="Tahoma" w:cs="Tahoma"/>
          <w:sz w:val="24"/>
          <w:szCs w:val="24"/>
          <w:lang w:val="en-GB"/>
        </w:rPr>
        <w:t>,</w:t>
      </w:r>
      <w:r w:rsidR="00395298" w:rsidRPr="00D609A2">
        <w:rPr>
          <w:rFonts w:ascii="Tahoma" w:hAnsi="Tahoma" w:cs="Tahoma"/>
          <w:sz w:val="24"/>
          <w:szCs w:val="24"/>
          <w:lang w:val="en-GB"/>
        </w:rPr>
        <w:t xml:space="preserve"> within the terms of rule 24 of the Northern Ireland (Sentences) Act 1998 Sentence Review Commissioners Rules 1998</w:t>
      </w:r>
      <w:r w:rsidR="00A72E5F" w:rsidRPr="00D609A2">
        <w:rPr>
          <w:rFonts w:ascii="Tahoma" w:hAnsi="Tahoma" w:cs="Tahoma"/>
          <w:sz w:val="24"/>
          <w:szCs w:val="24"/>
          <w:lang w:val="en-GB"/>
        </w:rPr>
        <w:t>.</w:t>
      </w:r>
      <w:r w:rsidR="00A72E5F" w:rsidRPr="00D609A2">
        <w:rPr>
          <w:rStyle w:val="FootnoteReference"/>
          <w:rFonts w:ascii="Tahoma" w:hAnsi="Tahoma" w:cs="Tahoma"/>
          <w:sz w:val="24"/>
          <w:szCs w:val="24"/>
          <w:lang w:val="en-GB"/>
        </w:rPr>
        <w:footnoteReference w:id="1"/>
      </w:r>
      <w:r w:rsidR="003F3A95" w:rsidRPr="00D609A2">
        <w:rPr>
          <w:rFonts w:ascii="Tahoma" w:hAnsi="Tahoma" w:cs="Tahoma"/>
          <w:sz w:val="24"/>
          <w:szCs w:val="24"/>
          <w:lang w:val="en-GB"/>
        </w:rPr>
        <w:t xml:space="preserve"> </w:t>
      </w:r>
    </w:p>
    <w:p w:rsidR="000B3FF2" w:rsidRPr="00D609A2" w:rsidRDefault="000B3FF2" w:rsidP="0027635F">
      <w:pPr>
        <w:spacing w:line="360" w:lineRule="auto"/>
        <w:jc w:val="both"/>
        <w:rPr>
          <w:rFonts w:ascii="Tahoma" w:hAnsi="Tahoma" w:cs="Tahoma"/>
          <w:sz w:val="24"/>
          <w:szCs w:val="24"/>
          <w:lang w:val="en-GB"/>
        </w:rPr>
      </w:pPr>
    </w:p>
    <w:p w:rsidR="000B3FF2" w:rsidRPr="00D609A2" w:rsidRDefault="000B3FF2" w:rsidP="0027635F">
      <w:pPr>
        <w:spacing w:line="360" w:lineRule="auto"/>
        <w:jc w:val="both"/>
        <w:rPr>
          <w:rFonts w:ascii="Tahoma" w:hAnsi="Tahoma" w:cs="Tahoma"/>
          <w:sz w:val="24"/>
          <w:szCs w:val="24"/>
          <w:lang w:val="en-GB"/>
        </w:rPr>
      </w:pPr>
      <w:r w:rsidRPr="00D609A2">
        <w:rPr>
          <w:rFonts w:ascii="Tahoma" w:hAnsi="Tahoma" w:cs="Tahoma"/>
          <w:sz w:val="24"/>
          <w:szCs w:val="24"/>
          <w:lang w:val="en-GB"/>
        </w:rPr>
        <w:t>1.2</w:t>
      </w:r>
      <w:r w:rsidRPr="00D609A2">
        <w:rPr>
          <w:rFonts w:ascii="Tahoma" w:hAnsi="Tahoma" w:cs="Tahoma"/>
          <w:sz w:val="24"/>
          <w:szCs w:val="24"/>
          <w:lang w:val="en-GB"/>
        </w:rPr>
        <w:tab/>
        <w:t xml:space="preserve">There are a number of key stages in the proceedings before the Commissioners on an application under section 3 or section 8 of the NI Sentences Act 1998 namely, the application (‘the Application’), the preliminary indication (‘PI’) stage and, if required, the oral hearing (‘the Substantive Hearing’). </w:t>
      </w:r>
    </w:p>
    <w:p w:rsidR="00DA18E5" w:rsidRPr="00D609A2" w:rsidRDefault="00DA18E5" w:rsidP="0027635F">
      <w:pPr>
        <w:spacing w:line="360" w:lineRule="auto"/>
        <w:jc w:val="both"/>
        <w:rPr>
          <w:rFonts w:ascii="Tahoma" w:hAnsi="Tahoma" w:cs="Tahoma"/>
          <w:sz w:val="24"/>
          <w:szCs w:val="24"/>
          <w:lang w:val="en-GB"/>
        </w:rPr>
      </w:pPr>
    </w:p>
    <w:p w:rsidR="00DA18E5" w:rsidRPr="00D609A2" w:rsidRDefault="00DA18E5" w:rsidP="0027635F">
      <w:pPr>
        <w:spacing w:line="360" w:lineRule="auto"/>
        <w:jc w:val="both"/>
        <w:rPr>
          <w:rFonts w:ascii="Tahoma" w:hAnsi="Tahoma" w:cs="Tahoma"/>
          <w:sz w:val="24"/>
          <w:szCs w:val="24"/>
          <w:lang w:val="en-GB"/>
        </w:rPr>
      </w:pPr>
    </w:p>
    <w:p w:rsidR="003F3A95" w:rsidRPr="00D609A2" w:rsidRDefault="000B3FF2" w:rsidP="0027635F">
      <w:pPr>
        <w:pStyle w:val="Heading5"/>
        <w:spacing w:line="360" w:lineRule="auto"/>
        <w:jc w:val="both"/>
        <w:rPr>
          <w:rFonts w:ascii="Tahoma" w:hAnsi="Tahoma" w:cs="Tahoma"/>
          <w:sz w:val="24"/>
          <w:szCs w:val="24"/>
        </w:rPr>
      </w:pPr>
      <w:r w:rsidRPr="00D609A2">
        <w:rPr>
          <w:rFonts w:ascii="Tahoma" w:hAnsi="Tahoma" w:cs="Tahoma"/>
          <w:sz w:val="24"/>
          <w:szCs w:val="24"/>
        </w:rPr>
        <w:t>2.0</w:t>
      </w:r>
      <w:r w:rsidRPr="00D609A2">
        <w:rPr>
          <w:rFonts w:ascii="Tahoma" w:hAnsi="Tahoma" w:cs="Tahoma"/>
          <w:sz w:val="24"/>
          <w:szCs w:val="24"/>
        </w:rPr>
        <w:tab/>
      </w:r>
      <w:r w:rsidR="003F3A95" w:rsidRPr="00D609A2">
        <w:rPr>
          <w:rFonts w:ascii="Tahoma" w:hAnsi="Tahoma" w:cs="Tahoma"/>
          <w:sz w:val="24"/>
          <w:szCs w:val="24"/>
        </w:rPr>
        <w:t xml:space="preserve">GENERAL </w:t>
      </w:r>
      <w:r w:rsidR="007F707B" w:rsidRPr="00D609A2">
        <w:rPr>
          <w:rFonts w:ascii="Tahoma" w:hAnsi="Tahoma" w:cs="Tahoma"/>
          <w:sz w:val="24"/>
          <w:szCs w:val="24"/>
        </w:rPr>
        <w:t>PROCEDURES</w:t>
      </w:r>
    </w:p>
    <w:p w:rsidR="00814936" w:rsidRPr="00D609A2" w:rsidRDefault="00814936" w:rsidP="0027635F">
      <w:pPr>
        <w:spacing w:line="360" w:lineRule="auto"/>
        <w:jc w:val="both"/>
        <w:rPr>
          <w:rFonts w:ascii="Tahoma" w:hAnsi="Tahoma" w:cs="Tahoma"/>
          <w:sz w:val="24"/>
          <w:szCs w:val="24"/>
          <w:lang w:val="en-GB"/>
        </w:rPr>
      </w:pPr>
    </w:p>
    <w:p w:rsidR="00476211" w:rsidRPr="00D609A2" w:rsidRDefault="000B3FF2" w:rsidP="0027635F">
      <w:pPr>
        <w:spacing w:line="360" w:lineRule="auto"/>
        <w:jc w:val="both"/>
        <w:rPr>
          <w:rFonts w:ascii="Tahoma" w:hAnsi="Tahoma" w:cs="Tahoma"/>
          <w:sz w:val="24"/>
          <w:szCs w:val="24"/>
          <w:lang w:val="en-GB"/>
        </w:rPr>
      </w:pPr>
      <w:r w:rsidRPr="00D609A2">
        <w:rPr>
          <w:rFonts w:ascii="Tahoma" w:hAnsi="Tahoma" w:cs="Tahoma"/>
          <w:sz w:val="24"/>
          <w:szCs w:val="24"/>
          <w:lang w:val="en-GB"/>
        </w:rPr>
        <w:t>2.1</w:t>
      </w:r>
      <w:r w:rsidRPr="00D609A2">
        <w:rPr>
          <w:rFonts w:ascii="Tahoma" w:hAnsi="Tahoma" w:cs="Tahoma"/>
          <w:sz w:val="24"/>
          <w:szCs w:val="24"/>
          <w:lang w:val="en-GB"/>
        </w:rPr>
        <w:tab/>
      </w:r>
      <w:r w:rsidR="00973A94" w:rsidRPr="00D609A2">
        <w:rPr>
          <w:rFonts w:ascii="Tahoma" w:hAnsi="Tahoma" w:cs="Tahoma"/>
          <w:sz w:val="24"/>
          <w:szCs w:val="24"/>
          <w:lang w:val="en-GB"/>
        </w:rPr>
        <w:t>At the A</w:t>
      </w:r>
      <w:r w:rsidR="00476211" w:rsidRPr="00D609A2">
        <w:rPr>
          <w:rFonts w:ascii="Tahoma" w:hAnsi="Tahoma" w:cs="Tahoma"/>
          <w:sz w:val="24"/>
          <w:szCs w:val="24"/>
          <w:lang w:val="en-GB"/>
        </w:rPr>
        <w:t>pplication stage Commissioners will normally make a legal</w:t>
      </w:r>
      <w:r w:rsidR="008903F6" w:rsidRPr="00D609A2">
        <w:rPr>
          <w:rFonts w:ascii="Tahoma" w:hAnsi="Tahoma" w:cs="Tahoma"/>
          <w:sz w:val="24"/>
          <w:szCs w:val="24"/>
          <w:lang w:val="en-GB"/>
        </w:rPr>
        <w:t xml:space="preserve"> aid direction in respect of a s</w:t>
      </w:r>
      <w:r w:rsidR="00476211" w:rsidRPr="00D609A2">
        <w:rPr>
          <w:rFonts w:ascii="Tahoma" w:hAnsi="Tahoma" w:cs="Tahoma"/>
          <w:sz w:val="24"/>
          <w:szCs w:val="24"/>
          <w:lang w:val="en-GB"/>
        </w:rPr>
        <w:t>olicitor only.</w:t>
      </w:r>
    </w:p>
    <w:p w:rsidR="00476211" w:rsidRPr="00D609A2" w:rsidRDefault="00476211" w:rsidP="0027635F">
      <w:pPr>
        <w:spacing w:line="360" w:lineRule="auto"/>
        <w:jc w:val="both"/>
        <w:rPr>
          <w:rFonts w:ascii="Tahoma" w:hAnsi="Tahoma" w:cs="Tahoma"/>
          <w:sz w:val="24"/>
          <w:szCs w:val="24"/>
          <w:lang w:val="en-GB"/>
        </w:rPr>
      </w:pPr>
    </w:p>
    <w:p w:rsidR="00476211" w:rsidRPr="00D609A2" w:rsidRDefault="000B3FF2" w:rsidP="0027635F">
      <w:pPr>
        <w:spacing w:line="360" w:lineRule="auto"/>
        <w:jc w:val="both"/>
        <w:rPr>
          <w:rFonts w:ascii="Tahoma" w:hAnsi="Tahoma" w:cs="Tahoma"/>
          <w:sz w:val="24"/>
          <w:szCs w:val="24"/>
          <w:lang w:val="en-GB"/>
        </w:rPr>
      </w:pPr>
      <w:r w:rsidRPr="00D609A2">
        <w:rPr>
          <w:rFonts w:ascii="Tahoma" w:hAnsi="Tahoma" w:cs="Tahoma"/>
          <w:sz w:val="24"/>
          <w:szCs w:val="24"/>
          <w:lang w:val="en-GB"/>
        </w:rPr>
        <w:t>2.2</w:t>
      </w:r>
      <w:r w:rsidRPr="00D609A2">
        <w:rPr>
          <w:rFonts w:ascii="Tahoma" w:hAnsi="Tahoma" w:cs="Tahoma"/>
          <w:sz w:val="24"/>
          <w:szCs w:val="24"/>
          <w:lang w:val="en-GB"/>
        </w:rPr>
        <w:tab/>
        <w:t xml:space="preserve">Where an </w:t>
      </w:r>
      <w:r w:rsidR="00476211" w:rsidRPr="00D609A2">
        <w:rPr>
          <w:rFonts w:ascii="Tahoma" w:hAnsi="Tahoma" w:cs="Tahoma"/>
          <w:sz w:val="24"/>
          <w:szCs w:val="24"/>
          <w:lang w:val="en-GB"/>
        </w:rPr>
        <w:t>application for a legal aid direc</w:t>
      </w:r>
      <w:r w:rsidR="008903F6" w:rsidRPr="00D609A2">
        <w:rPr>
          <w:rFonts w:ascii="Tahoma" w:hAnsi="Tahoma" w:cs="Tahoma"/>
          <w:sz w:val="24"/>
          <w:szCs w:val="24"/>
          <w:lang w:val="en-GB"/>
        </w:rPr>
        <w:t>tion has been granted, and the s</w:t>
      </w:r>
      <w:r w:rsidR="00476211" w:rsidRPr="00D609A2">
        <w:rPr>
          <w:rFonts w:ascii="Tahoma" w:hAnsi="Tahoma" w:cs="Tahoma"/>
          <w:sz w:val="24"/>
          <w:szCs w:val="24"/>
          <w:lang w:val="en-GB"/>
        </w:rPr>
        <w:t>olicitor considers that the proper conduct of the ca</w:t>
      </w:r>
      <w:r w:rsidR="008903F6" w:rsidRPr="00D609A2">
        <w:rPr>
          <w:rFonts w:ascii="Tahoma" w:hAnsi="Tahoma" w:cs="Tahoma"/>
          <w:sz w:val="24"/>
          <w:szCs w:val="24"/>
          <w:lang w:val="en-GB"/>
        </w:rPr>
        <w:t>se requires the appointment of c</w:t>
      </w:r>
      <w:r w:rsidR="00476211" w:rsidRPr="00D609A2">
        <w:rPr>
          <w:rFonts w:ascii="Tahoma" w:hAnsi="Tahoma" w:cs="Tahoma"/>
          <w:sz w:val="24"/>
          <w:szCs w:val="24"/>
          <w:lang w:val="en-GB"/>
        </w:rPr>
        <w:t xml:space="preserve">ounsel, </w:t>
      </w:r>
      <w:r w:rsidR="00CB57D2" w:rsidRPr="00D609A2">
        <w:rPr>
          <w:rFonts w:ascii="Tahoma" w:hAnsi="Tahoma" w:cs="Tahoma"/>
          <w:sz w:val="24"/>
          <w:szCs w:val="24"/>
          <w:lang w:val="en-GB"/>
        </w:rPr>
        <w:t>s/</w:t>
      </w:r>
      <w:r w:rsidR="00476211" w:rsidRPr="00D609A2">
        <w:rPr>
          <w:rFonts w:ascii="Tahoma" w:hAnsi="Tahoma" w:cs="Tahoma"/>
          <w:sz w:val="24"/>
          <w:szCs w:val="24"/>
          <w:lang w:val="en-GB"/>
        </w:rPr>
        <w:t xml:space="preserve">he may make a further ancillary application to the Commissioners citing in full the reasons why </w:t>
      </w:r>
      <w:r w:rsidR="00CB57D2" w:rsidRPr="00D609A2">
        <w:rPr>
          <w:rFonts w:ascii="Tahoma" w:hAnsi="Tahoma" w:cs="Tahoma"/>
          <w:sz w:val="24"/>
          <w:szCs w:val="24"/>
          <w:lang w:val="en-GB"/>
        </w:rPr>
        <w:t>s/</w:t>
      </w:r>
      <w:r w:rsidR="008903F6" w:rsidRPr="00D609A2">
        <w:rPr>
          <w:rFonts w:ascii="Tahoma" w:hAnsi="Tahoma" w:cs="Tahoma"/>
          <w:sz w:val="24"/>
          <w:szCs w:val="24"/>
          <w:lang w:val="en-GB"/>
        </w:rPr>
        <w:t>he considers c</w:t>
      </w:r>
      <w:r w:rsidR="00476211" w:rsidRPr="00D609A2">
        <w:rPr>
          <w:rFonts w:ascii="Tahoma" w:hAnsi="Tahoma" w:cs="Tahoma"/>
          <w:sz w:val="24"/>
          <w:szCs w:val="24"/>
          <w:lang w:val="en-GB"/>
        </w:rPr>
        <w:t xml:space="preserve">ounsel should be appointed and seeking a consequential legal aid direction. </w:t>
      </w:r>
    </w:p>
    <w:p w:rsidR="002943BC" w:rsidRPr="00D609A2" w:rsidRDefault="002943BC" w:rsidP="0027635F">
      <w:pPr>
        <w:pStyle w:val="ListParagraph"/>
        <w:spacing w:line="360" w:lineRule="auto"/>
        <w:ind w:left="0"/>
        <w:jc w:val="both"/>
        <w:rPr>
          <w:rFonts w:ascii="Tahoma" w:hAnsi="Tahoma" w:cs="Tahoma"/>
          <w:sz w:val="24"/>
          <w:szCs w:val="24"/>
          <w:lang w:val="en-GB"/>
        </w:rPr>
      </w:pPr>
    </w:p>
    <w:p w:rsidR="00924A8C" w:rsidRPr="00D609A2" w:rsidRDefault="000B3FF2" w:rsidP="0027635F">
      <w:pPr>
        <w:spacing w:line="360" w:lineRule="auto"/>
        <w:jc w:val="both"/>
        <w:rPr>
          <w:rFonts w:ascii="Tahoma" w:hAnsi="Tahoma" w:cs="Tahoma"/>
          <w:sz w:val="24"/>
          <w:szCs w:val="24"/>
          <w:lang w:val="en-GB"/>
        </w:rPr>
      </w:pPr>
      <w:r w:rsidRPr="00D609A2">
        <w:rPr>
          <w:rFonts w:ascii="Tahoma" w:hAnsi="Tahoma" w:cs="Tahoma"/>
          <w:sz w:val="24"/>
          <w:szCs w:val="24"/>
          <w:lang w:val="en-GB"/>
        </w:rPr>
        <w:t>2.3</w:t>
      </w:r>
      <w:r w:rsidRPr="00D609A2">
        <w:rPr>
          <w:rFonts w:ascii="Tahoma" w:hAnsi="Tahoma" w:cs="Tahoma"/>
          <w:sz w:val="24"/>
          <w:szCs w:val="24"/>
          <w:lang w:val="en-GB"/>
        </w:rPr>
        <w:tab/>
      </w:r>
      <w:r w:rsidR="00476211" w:rsidRPr="00D609A2">
        <w:rPr>
          <w:rFonts w:ascii="Tahoma" w:hAnsi="Tahoma" w:cs="Tahoma"/>
          <w:sz w:val="24"/>
          <w:szCs w:val="24"/>
          <w:lang w:val="en-GB"/>
        </w:rPr>
        <w:t>A legal aid direction for counsel will not normally</w:t>
      </w:r>
      <w:r w:rsidR="0005530F" w:rsidRPr="00D609A2">
        <w:rPr>
          <w:rFonts w:ascii="Tahoma" w:hAnsi="Tahoma" w:cs="Tahoma"/>
          <w:sz w:val="24"/>
          <w:szCs w:val="24"/>
          <w:lang w:val="en-GB"/>
        </w:rPr>
        <w:t xml:space="preserve"> be given</w:t>
      </w:r>
      <w:r w:rsidR="00CB57D2" w:rsidRPr="00D609A2">
        <w:rPr>
          <w:rFonts w:ascii="Tahoma" w:hAnsi="Tahoma" w:cs="Tahoma"/>
          <w:sz w:val="24"/>
          <w:szCs w:val="24"/>
          <w:lang w:val="en-GB"/>
        </w:rPr>
        <w:t xml:space="preserve"> in advance of the PI</w:t>
      </w:r>
      <w:r w:rsidR="00476211" w:rsidRPr="00D609A2">
        <w:rPr>
          <w:rFonts w:ascii="Tahoma" w:hAnsi="Tahoma" w:cs="Tahoma"/>
          <w:sz w:val="24"/>
          <w:szCs w:val="24"/>
          <w:lang w:val="en-GB"/>
        </w:rPr>
        <w:t xml:space="preserve"> stage of the proceedings</w:t>
      </w:r>
      <w:r w:rsidR="00814936" w:rsidRPr="00D609A2">
        <w:rPr>
          <w:rFonts w:ascii="Tahoma" w:hAnsi="Tahoma" w:cs="Tahoma"/>
          <w:sz w:val="24"/>
          <w:szCs w:val="24"/>
          <w:lang w:val="en-GB"/>
        </w:rPr>
        <w:t xml:space="preserve"> with the exception of cases in which the Response papers include a certificate of “damaging information</w:t>
      </w:r>
      <w:r w:rsidR="00973A94" w:rsidRPr="00D609A2">
        <w:rPr>
          <w:rFonts w:ascii="Tahoma" w:hAnsi="Tahoma" w:cs="Tahoma"/>
          <w:sz w:val="24"/>
          <w:szCs w:val="24"/>
          <w:lang w:val="en-GB"/>
        </w:rPr>
        <w:t>”</w:t>
      </w:r>
      <w:r w:rsidR="00814936" w:rsidRPr="00D609A2">
        <w:rPr>
          <w:rFonts w:ascii="Tahoma" w:hAnsi="Tahoma" w:cs="Tahoma"/>
          <w:sz w:val="24"/>
          <w:szCs w:val="24"/>
          <w:lang w:val="en-GB"/>
        </w:rPr>
        <w:t xml:space="preserve"> in accordance with rule 22</w:t>
      </w:r>
      <w:r w:rsidR="00CB57D2" w:rsidRPr="00D609A2">
        <w:rPr>
          <w:rFonts w:ascii="Tahoma" w:hAnsi="Tahoma" w:cs="Tahoma"/>
          <w:sz w:val="24"/>
          <w:szCs w:val="24"/>
          <w:lang w:val="en-GB"/>
        </w:rPr>
        <w:t xml:space="preserve"> or where such a certificate is submitted by way of ancillary application in advance of the PI stage in the proceedings</w:t>
      </w:r>
      <w:r w:rsidR="00814936" w:rsidRPr="00D609A2">
        <w:rPr>
          <w:rFonts w:ascii="Tahoma" w:hAnsi="Tahoma" w:cs="Tahoma"/>
          <w:sz w:val="24"/>
          <w:szCs w:val="24"/>
          <w:lang w:val="en-GB"/>
        </w:rPr>
        <w:t>. In such cases a special advocate will be appointed prior to the P</w:t>
      </w:r>
      <w:r w:rsidR="002943BC" w:rsidRPr="00D609A2">
        <w:rPr>
          <w:rFonts w:ascii="Tahoma" w:hAnsi="Tahoma" w:cs="Tahoma"/>
          <w:sz w:val="24"/>
          <w:szCs w:val="24"/>
          <w:lang w:val="en-GB"/>
        </w:rPr>
        <w:t xml:space="preserve">I and a review of the closed material (‘the gisting </w:t>
      </w:r>
      <w:proofErr w:type="gramStart"/>
      <w:r w:rsidR="002943BC" w:rsidRPr="00D609A2">
        <w:rPr>
          <w:rFonts w:ascii="Tahoma" w:hAnsi="Tahoma" w:cs="Tahoma"/>
          <w:sz w:val="24"/>
          <w:szCs w:val="24"/>
          <w:lang w:val="en-GB"/>
        </w:rPr>
        <w:t>process’</w:t>
      </w:r>
      <w:proofErr w:type="gramEnd"/>
      <w:r w:rsidR="002943BC" w:rsidRPr="00D609A2">
        <w:rPr>
          <w:rFonts w:ascii="Tahoma" w:hAnsi="Tahoma" w:cs="Tahoma"/>
          <w:sz w:val="24"/>
          <w:szCs w:val="24"/>
          <w:lang w:val="en-GB"/>
        </w:rPr>
        <w:t>) will be commenced.</w:t>
      </w:r>
      <w:r w:rsidR="00924A8C" w:rsidRPr="00D609A2">
        <w:rPr>
          <w:rStyle w:val="FootnoteReference"/>
          <w:rFonts w:ascii="Tahoma" w:hAnsi="Tahoma" w:cs="Tahoma"/>
          <w:sz w:val="24"/>
          <w:szCs w:val="24"/>
          <w:lang w:val="en-GB"/>
        </w:rPr>
        <w:footnoteReference w:id="2"/>
      </w:r>
      <w:r w:rsidR="002943BC" w:rsidRPr="00D609A2">
        <w:rPr>
          <w:rFonts w:ascii="Tahoma" w:hAnsi="Tahoma" w:cs="Tahoma"/>
          <w:sz w:val="24"/>
          <w:szCs w:val="24"/>
          <w:lang w:val="en-GB"/>
        </w:rPr>
        <w:t xml:space="preserve"> Although the prisoner’s legal representatives </w:t>
      </w:r>
      <w:r w:rsidR="00814936" w:rsidRPr="00D609A2">
        <w:rPr>
          <w:rFonts w:ascii="Tahoma" w:hAnsi="Tahoma" w:cs="Tahoma"/>
          <w:sz w:val="24"/>
          <w:szCs w:val="24"/>
          <w:lang w:val="en-GB"/>
        </w:rPr>
        <w:t xml:space="preserve">would not be involved directly in this process </w:t>
      </w:r>
      <w:r w:rsidR="00924A8C" w:rsidRPr="00D609A2">
        <w:rPr>
          <w:rFonts w:ascii="Tahoma" w:hAnsi="Tahoma" w:cs="Tahoma"/>
          <w:sz w:val="24"/>
          <w:szCs w:val="24"/>
          <w:lang w:val="en-GB"/>
        </w:rPr>
        <w:t xml:space="preserve">an opportunity will be given to the prisoner’s representatives to make observations on the process and on the information contained in the gist by way of </w:t>
      </w:r>
      <w:r w:rsidR="00814936" w:rsidRPr="00D609A2">
        <w:rPr>
          <w:rFonts w:ascii="Tahoma" w:hAnsi="Tahoma" w:cs="Tahoma"/>
          <w:sz w:val="24"/>
          <w:szCs w:val="24"/>
          <w:lang w:val="en-GB"/>
        </w:rPr>
        <w:t xml:space="preserve">written submissions to the panel </w:t>
      </w:r>
      <w:r w:rsidR="00924A8C" w:rsidRPr="00D609A2">
        <w:rPr>
          <w:rFonts w:ascii="Tahoma" w:hAnsi="Tahoma" w:cs="Tahoma"/>
          <w:sz w:val="24"/>
          <w:szCs w:val="24"/>
          <w:lang w:val="en-GB"/>
        </w:rPr>
        <w:t xml:space="preserve">in </w:t>
      </w:r>
      <w:r w:rsidR="00814936" w:rsidRPr="00D609A2">
        <w:rPr>
          <w:rFonts w:ascii="Tahoma" w:hAnsi="Tahoma" w:cs="Tahoma"/>
          <w:sz w:val="24"/>
          <w:szCs w:val="24"/>
          <w:lang w:val="en-GB"/>
        </w:rPr>
        <w:t xml:space="preserve">advance of </w:t>
      </w:r>
      <w:r w:rsidR="00A56482" w:rsidRPr="00D609A2">
        <w:rPr>
          <w:rFonts w:ascii="Tahoma" w:hAnsi="Tahoma" w:cs="Tahoma"/>
          <w:sz w:val="24"/>
          <w:szCs w:val="24"/>
          <w:lang w:val="en-GB"/>
        </w:rPr>
        <w:t xml:space="preserve">the </w:t>
      </w:r>
      <w:r w:rsidR="00814936" w:rsidRPr="00D609A2">
        <w:rPr>
          <w:rFonts w:ascii="Tahoma" w:hAnsi="Tahoma" w:cs="Tahoma"/>
          <w:sz w:val="24"/>
          <w:szCs w:val="24"/>
          <w:lang w:val="en-GB"/>
        </w:rPr>
        <w:t>PI stage.</w:t>
      </w:r>
      <w:r w:rsidR="00CA7386" w:rsidRPr="00D609A2">
        <w:rPr>
          <w:rFonts w:ascii="Tahoma" w:hAnsi="Tahoma" w:cs="Tahoma"/>
          <w:sz w:val="24"/>
          <w:szCs w:val="24"/>
          <w:lang w:val="en-GB"/>
        </w:rPr>
        <w:t xml:space="preserve"> In such cases, the person concerned may consider it appropriate to make an application for a legal aid direction in respect of counsel</w:t>
      </w:r>
      <w:r w:rsidR="002644A4" w:rsidRPr="00D609A2">
        <w:rPr>
          <w:rFonts w:ascii="Tahoma" w:hAnsi="Tahoma" w:cs="Tahoma"/>
          <w:sz w:val="24"/>
          <w:szCs w:val="24"/>
          <w:lang w:val="en-GB"/>
        </w:rPr>
        <w:t>.</w:t>
      </w:r>
    </w:p>
    <w:p w:rsidR="00CB57D2" w:rsidRPr="00D609A2" w:rsidRDefault="00CB57D2" w:rsidP="0027635F">
      <w:pPr>
        <w:pStyle w:val="ListParagraph"/>
        <w:spacing w:line="360" w:lineRule="auto"/>
        <w:ind w:left="0"/>
        <w:jc w:val="both"/>
        <w:rPr>
          <w:rFonts w:ascii="Tahoma" w:hAnsi="Tahoma" w:cs="Tahoma"/>
          <w:sz w:val="24"/>
          <w:szCs w:val="24"/>
          <w:lang w:val="en-GB"/>
        </w:rPr>
      </w:pPr>
    </w:p>
    <w:p w:rsidR="008D1FC3" w:rsidRPr="00D609A2" w:rsidRDefault="000B3FF2" w:rsidP="0027635F">
      <w:pPr>
        <w:spacing w:line="360" w:lineRule="auto"/>
        <w:jc w:val="both"/>
        <w:rPr>
          <w:rFonts w:ascii="Tahoma" w:hAnsi="Tahoma" w:cs="Tahoma"/>
          <w:sz w:val="24"/>
          <w:szCs w:val="24"/>
          <w:lang w:val="en-GB"/>
        </w:rPr>
      </w:pPr>
      <w:r w:rsidRPr="00D609A2">
        <w:rPr>
          <w:rFonts w:ascii="Tahoma" w:hAnsi="Tahoma" w:cs="Tahoma"/>
          <w:sz w:val="24"/>
          <w:szCs w:val="24"/>
          <w:lang w:val="en-GB"/>
        </w:rPr>
        <w:t>2.4</w:t>
      </w:r>
      <w:r w:rsidRPr="00D609A2">
        <w:rPr>
          <w:rFonts w:ascii="Tahoma" w:hAnsi="Tahoma" w:cs="Tahoma"/>
          <w:sz w:val="24"/>
          <w:szCs w:val="24"/>
          <w:lang w:val="en-GB"/>
        </w:rPr>
        <w:tab/>
      </w:r>
      <w:r w:rsidR="00CB57D2" w:rsidRPr="00D609A2">
        <w:rPr>
          <w:rFonts w:ascii="Tahoma" w:hAnsi="Tahoma" w:cs="Tahoma"/>
          <w:sz w:val="24"/>
          <w:szCs w:val="24"/>
          <w:lang w:val="en-GB"/>
        </w:rPr>
        <w:t>In all other cases, a</w:t>
      </w:r>
      <w:r w:rsidR="007F707B" w:rsidRPr="00D609A2">
        <w:rPr>
          <w:rFonts w:ascii="Tahoma" w:hAnsi="Tahoma" w:cs="Tahoma"/>
          <w:sz w:val="24"/>
          <w:szCs w:val="24"/>
          <w:lang w:val="en-GB"/>
        </w:rPr>
        <w:t>n</w:t>
      </w:r>
      <w:r w:rsidR="00CB57D2" w:rsidRPr="00D609A2">
        <w:rPr>
          <w:rFonts w:ascii="Tahoma" w:hAnsi="Tahoma" w:cs="Tahoma"/>
          <w:sz w:val="24"/>
          <w:szCs w:val="24"/>
          <w:lang w:val="en-GB"/>
        </w:rPr>
        <w:t xml:space="preserve"> application for </w:t>
      </w:r>
      <w:r w:rsidR="002644A4" w:rsidRPr="00D609A2">
        <w:rPr>
          <w:rFonts w:ascii="Tahoma" w:hAnsi="Tahoma" w:cs="Tahoma"/>
          <w:sz w:val="24"/>
          <w:szCs w:val="24"/>
          <w:lang w:val="en-GB"/>
        </w:rPr>
        <w:t xml:space="preserve">a legal aid direction in respect of </w:t>
      </w:r>
      <w:r w:rsidR="00CB57D2" w:rsidRPr="00D609A2">
        <w:rPr>
          <w:rFonts w:ascii="Tahoma" w:hAnsi="Tahoma" w:cs="Tahoma"/>
          <w:sz w:val="24"/>
          <w:szCs w:val="24"/>
          <w:lang w:val="en-GB"/>
        </w:rPr>
        <w:t>counsel will be considered following the PI where either party indicates that he wishes to challenge the PI and a substantive hearing is required within the terms of rule 15.</w:t>
      </w:r>
      <w:r w:rsidR="007F707B" w:rsidRPr="00D609A2">
        <w:rPr>
          <w:rFonts w:ascii="Tahoma" w:hAnsi="Tahoma" w:cs="Tahoma"/>
          <w:sz w:val="24"/>
          <w:szCs w:val="24"/>
          <w:lang w:val="en-GB"/>
        </w:rPr>
        <w:t xml:space="preserve"> </w:t>
      </w:r>
    </w:p>
    <w:p w:rsidR="00CB57D2" w:rsidRPr="00D609A2" w:rsidRDefault="00CB57D2" w:rsidP="0027635F">
      <w:pPr>
        <w:spacing w:line="360" w:lineRule="auto"/>
        <w:jc w:val="both"/>
        <w:rPr>
          <w:rFonts w:ascii="Tahoma" w:hAnsi="Tahoma" w:cs="Tahoma"/>
          <w:sz w:val="24"/>
          <w:szCs w:val="24"/>
          <w:lang w:val="en-GB"/>
        </w:rPr>
      </w:pPr>
    </w:p>
    <w:p w:rsidR="002644A4" w:rsidRPr="00D609A2" w:rsidRDefault="000B3FF2" w:rsidP="0027635F">
      <w:pPr>
        <w:spacing w:line="360" w:lineRule="auto"/>
        <w:jc w:val="both"/>
        <w:rPr>
          <w:rFonts w:ascii="Tahoma" w:hAnsi="Tahoma" w:cs="Tahoma"/>
          <w:sz w:val="24"/>
          <w:szCs w:val="24"/>
          <w:lang w:val="en-GB"/>
        </w:rPr>
      </w:pPr>
      <w:r w:rsidRPr="00D609A2">
        <w:rPr>
          <w:rFonts w:ascii="Tahoma" w:hAnsi="Tahoma" w:cs="Tahoma"/>
          <w:sz w:val="24"/>
          <w:szCs w:val="24"/>
          <w:lang w:val="en-GB"/>
        </w:rPr>
        <w:t>2.5</w:t>
      </w:r>
      <w:r w:rsidRPr="00D609A2">
        <w:rPr>
          <w:rFonts w:ascii="Tahoma" w:hAnsi="Tahoma" w:cs="Tahoma"/>
          <w:sz w:val="24"/>
          <w:szCs w:val="24"/>
          <w:lang w:val="en-GB"/>
        </w:rPr>
        <w:tab/>
      </w:r>
      <w:r w:rsidR="008F4403" w:rsidRPr="00D609A2">
        <w:rPr>
          <w:rFonts w:ascii="Tahoma" w:hAnsi="Tahoma" w:cs="Tahoma"/>
          <w:sz w:val="24"/>
          <w:szCs w:val="24"/>
          <w:lang w:val="en-GB"/>
        </w:rPr>
        <w:t>Any</w:t>
      </w:r>
      <w:r w:rsidR="00CB57D2" w:rsidRPr="00D609A2">
        <w:rPr>
          <w:rFonts w:ascii="Tahoma" w:hAnsi="Tahoma" w:cs="Tahoma"/>
          <w:sz w:val="24"/>
          <w:szCs w:val="24"/>
          <w:lang w:val="en-GB"/>
        </w:rPr>
        <w:t xml:space="preserve"> legal aid direction for counsel will only be</w:t>
      </w:r>
      <w:r w:rsidR="0005530F" w:rsidRPr="00D609A2">
        <w:rPr>
          <w:rFonts w:ascii="Tahoma" w:hAnsi="Tahoma" w:cs="Tahoma"/>
          <w:sz w:val="24"/>
          <w:szCs w:val="24"/>
          <w:lang w:val="en-GB"/>
        </w:rPr>
        <w:t xml:space="preserve"> given</w:t>
      </w:r>
      <w:r w:rsidR="00CB57D2" w:rsidRPr="00D609A2">
        <w:rPr>
          <w:rFonts w:ascii="Tahoma" w:hAnsi="Tahoma" w:cs="Tahoma"/>
          <w:sz w:val="24"/>
          <w:szCs w:val="24"/>
          <w:lang w:val="en-GB"/>
        </w:rPr>
        <w:t xml:space="preserve"> in respect of</w:t>
      </w:r>
      <w:r w:rsidR="00B60BE8" w:rsidRPr="00D609A2">
        <w:rPr>
          <w:rFonts w:ascii="Tahoma" w:hAnsi="Tahoma" w:cs="Tahoma"/>
          <w:sz w:val="24"/>
          <w:szCs w:val="24"/>
          <w:lang w:val="en-GB"/>
        </w:rPr>
        <w:t xml:space="preserve"> j</w:t>
      </w:r>
      <w:r w:rsidR="00476211" w:rsidRPr="00D609A2">
        <w:rPr>
          <w:rFonts w:ascii="Tahoma" w:hAnsi="Tahoma" w:cs="Tahoma"/>
          <w:sz w:val="24"/>
          <w:szCs w:val="24"/>
          <w:lang w:val="en-GB"/>
        </w:rPr>
        <w:t xml:space="preserve">unior </w:t>
      </w:r>
      <w:r w:rsidR="00476211" w:rsidRPr="00D609A2">
        <w:rPr>
          <w:rFonts w:ascii="Tahoma" w:hAnsi="Tahoma" w:cs="Tahoma"/>
          <w:b/>
          <w:sz w:val="24"/>
          <w:szCs w:val="24"/>
          <w:u w:val="single"/>
          <w:lang w:val="en-GB"/>
        </w:rPr>
        <w:t>or</w:t>
      </w:r>
      <w:r w:rsidR="00B60BE8" w:rsidRPr="00D609A2">
        <w:rPr>
          <w:rFonts w:ascii="Tahoma" w:hAnsi="Tahoma" w:cs="Tahoma"/>
          <w:sz w:val="24"/>
          <w:szCs w:val="24"/>
          <w:lang w:val="en-GB"/>
        </w:rPr>
        <w:t xml:space="preserve"> s</w:t>
      </w:r>
      <w:r w:rsidR="00CB57D2" w:rsidRPr="00D609A2">
        <w:rPr>
          <w:rFonts w:ascii="Tahoma" w:hAnsi="Tahoma" w:cs="Tahoma"/>
          <w:sz w:val="24"/>
          <w:szCs w:val="24"/>
          <w:lang w:val="en-GB"/>
        </w:rPr>
        <w:t>enior counsel</w:t>
      </w:r>
      <w:r w:rsidR="00476211" w:rsidRPr="00D609A2">
        <w:rPr>
          <w:rFonts w:ascii="Tahoma" w:hAnsi="Tahoma" w:cs="Tahoma"/>
          <w:sz w:val="24"/>
          <w:szCs w:val="24"/>
          <w:lang w:val="en-GB"/>
        </w:rPr>
        <w:t xml:space="preserve">.  </w:t>
      </w:r>
    </w:p>
    <w:p w:rsidR="002644A4" w:rsidRPr="00D609A2" w:rsidRDefault="002644A4" w:rsidP="0027635F">
      <w:pPr>
        <w:pStyle w:val="ListParagraph"/>
        <w:spacing w:line="360" w:lineRule="auto"/>
        <w:ind w:left="0"/>
        <w:jc w:val="both"/>
        <w:rPr>
          <w:rFonts w:ascii="Tahoma" w:hAnsi="Tahoma" w:cs="Tahoma"/>
          <w:sz w:val="24"/>
          <w:szCs w:val="24"/>
          <w:lang w:val="en-GB"/>
        </w:rPr>
      </w:pPr>
    </w:p>
    <w:p w:rsidR="00DC3069" w:rsidRPr="00D609A2" w:rsidRDefault="000B3FF2" w:rsidP="0027635F">
      <w:pPr>
        <w:spacing w:line="360" w:lineRule="auto"/>
        <w:jc w:val="both"/>
        <w:rPr>
          <w:rFonts w:ascii="Tahoma" w:hAnsi="Tahoma" w:cs="Tahoma"/>
          <w:sz w:val="24"/>
          <w:szCs w:val="24"/>
          <w:lang w:val="en-GB"/>
        </w:rPr>
      </w:pPr>
      <w:r w:rsidRPr="00D609A2">
        <w:rPr>
          <w:rFonts w:ascii="Tahoma" w:hAnsi="Tahoma" w:cs="Tahoma"/>
          <w:sz w:val="24"/>
          <w:szCs w:val="24"/>
          <w:lang w:val="en-GB"/>
        </w:rPr>
        <w:t>2.6</w:t>
      </w:r>
      <w:r w:rsidRPr="00D609A2">
        <w:rPr>
          <w:rFonts w:ascii="Tahoma" w:hAnsi="Tahoma" w:cs="Tahoma"/>
          <w:sz w:val="24"/>
          <w:szCs w:val="24"/>
          <w:lang w:val="en-GB"/>
        </w:rPr>
        <w:tab/>
      </w:r>
      <w:r w:rsidR="002644A4" w:rsidRPr="00D609A2">
        <w:rPr>
          <w:rFonts w:ascii="Tahoma" w:hAnsi="Tahoma" w:cs="Tahoma"/>
          <w:sz w:val="24"/>
          <w:szCs w:val="24"/>
          <w:lang w:val="en-GB"/>
        </w:rPr>
        <w:t>The Commissioners will give a legal aid direction in respect of</w:t>
      </w:r>
      <w:r w:rsidR="00B60BE8" w:rsidRPr="00D609A2">
        <w:rPr>
          <w:rFonts w:ascii="Tahoma" w:hAnsi="Tahoma" w:cs="Tahoma"/>
          <w:sz w:val="24"/>
          <w:szCs w:val="24"/>
          <w:lang w:val="en-GB"/>
        </w:rPr>
        <w:t xml:space="preserve"> junior</w:t>
      </w:r>
      <w:r w:rsidR="002644A4" w:rsidRPr="00D609A2">
        <w:rPr>
          <w:rFonts w:ascii="Tahoma" w:hAnsi="Tahoma" w:cs="Tahoma"/>
          <w:sz w:val="24"/>
          <w:szCs w:val="24"/>
          <w:lang w:val="en-GB"/>
        </w:rPr>
        <w:t xml:space="preserve"> counsel only if they are satisfied that the case poses complex evidential problems or novel or difficult points of law. Where an application in respect of senior counsel is made, the application should set out the reasons why the appointment of senior counsel is considered necessary in the particular case.</w:t>
      </w:r>
      <w:r w:rsidR="0065585E" w:rsidRPr="00D609A2">
        <w:rPr>
          <w:rFonts w:ascii="Tahoma" w:hAnsi="Tahoma" w:cs="Tahoma"/>
          <w:sz w:val="24"/>
          <w:szCs w:val="24"/>
          <w:lang w:val="en-GB"/>
        </w:rPr>
        <w:t xml:space="preserve"> Consideration will be given to the appointment of senior counsel</w:t>
      </w:r>
      <w:r w:rsidR="00B60BE8" w:rsidRPr="00D609A2">
        <w:rPr>
          <w:rFonts w:ascii="Tahoma" w:hAnsi="Tahoma" w:cs="Tahoma"/>
          <w:sz w:val="24"/>
          <w:szCs w:val="24"/>
          <w:lang w:val="en-GB"/>
        </w:rPr>
        <w:t>, rather than junior counsel,</w:t>
      </w:r>
      <w:r w:rsidR="0065585E" w:rsidRPr="00D609A2">
        <w:rPr>
          <w:rFonts w:ascii="Tahoma" w:hAnsi="Tahoma" w:cs="Tahoma"/>
          <w:sz w:val="24"/>
          <w:szCs w:val="24"/>
          <w:lang w:val="en-GB"/>
        </w:rPr>
        <w:t xml:space="preserve"> </w:t>
      </w:r>
      <w:r w:rsidR="00500D58" w:rsidRPr="00D609A2">
        <w:rPr>
          <w:rFonts w:ascii="Tahoma" w:hAnsi="Tahoma" w:cs="Tahoma"/>
          <w:sz w:val="24"/>
          <w:szCs w:val="24"/>
          <w:lang w:val="en-GB"/>
        </w:rPr>
        <w:t xml:space="preserve">where a case is </w:t>
      </w:r>
      <w:r w:rsidR="00B60BE8" w:rsidRPr="00D609A2">
        <w:rPr>
          <w:rFonts w:ascii="Tahoma" w:hAnsi="Tahoma" w:cs="Tahoma"/>
          <w:sz w:val="24"/>
          <w:szCs w:val="24"/>
          <w:lang w:val="en-GB"/>
        </w:rPr>
        <w:t xml:space="preserve">exceptionally </w:t>
      </w:r>
      <w:r w:rsidR="00500D58" w:rsidRPr="00D609A2">
        <w:rPr>
          <w:rFonts w:ascii="Tahoma" w:hAnsi="Tahoma" w:cs="Tahoma"/>
          <w:sz w:val="24"/>
          <w:szCs w:val="24"/>
          <w:lang w:val="en-GB"/>
        </w:rPr>
        <w:t>complex</w:t>
      </w:r>
      <w:r w:rsidR="00DC3069" w:rsidRPr="00D609A2">
        <w:rPr>
          <w:rFonts w:ascii="Tahoma" w:hAnsi="Tahoma" w:cs="Tahoma"/>
          <w:sz w:val="24"/>
          <w:szCs w:val="24"/>
          <w:lang w:val="en-GB"/>
        </w:rPr>
        <w:t xml:space="preserve">, </w:t>
      </w:r>
      <w:r w:rsidR="00500D58" w:rsidRPr="00D609A2">
        <w:rPr>
          <w:rFonts w:ascii="Tahoma" w:hAnsi="Tahoma" w:cs="Tahoma"/>
          <w:sz w:val="24"/>
          <w:szCs w:val="24"/>
          <w:lang w:val="en-GB"/>
        </w:rPr>
        <w:t>when an equality of arms issue arises</w:t>
      </w:r>
      <w:r w:rsidR="00DC3069" w:rsidRPr="00D609A2">
        <w:rPr>
          <w:rFonts w:ascii="Tahoma" w:hAnsi="Tahoma" w:cs="Tahoma"/>
          <w:sz w:val="24"/>
          <w:szCs w:val="24"/>
          <w:lang w:val="en-GB"/>
        </w:rPr>
        <w:t xml:space="preserve"> or where the appointment of senior counsel is considered necessary to protect an applicant’s rights under the European Convention on Human Rights or the Human Rights Act.</w:t>
      </w:r>
    </w:p>
    <w:p w:rsidR="002644A4" w:rsidRPr="00D609A2" w:rsidRDefault="002644A4" w:rsidP="0027635F">
      <w:pPr>
        <w:pStyle w:val="ListParagraph"/>
        <w:spacing w:line="360" w:lineRule="auto"/>
        <w:ind w:left="567" w:right="1079"/>
        <w:jc w:val="both"/>
        <w:rPr>
          <w:rFonts w:ascii="Tahoma" w:hAnsi="Tahoma" w:cs="Tahoma"/>
          <w:sz w:val="24"/>
          <w:szCs w:val="24"/>
          <w:lang w:val="en-GB"/>
        </w:rPr>
      </w:pPr>
    </w:p>
    <w:p w:rsidR="008903F6" w:rsidRPr="00D609A2" w:rsidRDefault="008903F6" w:rsidP="0027635F">
      <w:pPr>
        <w:spacing w:line="360" w:lineRule="auto"/>
        <w:jc w:val="both"/>
        <w:rPr>
          <w:rFonts w:ascii="Tahoma" w:hAnsi="Tahoma" w:cs="Tahoma"/>
          <w:color w:val="FF0000"/>
          <w:sz w:val="24"/>
          <w:szCs w:val="24"/>
          <w:lang w:val="en-GB"/>
        </w:rPr>
      </w:pPr>
    </w:p>
    <w:p w:rsidR="00476211" w:rsidRPr="00D609A2" w:rsidRDefault="000B3FF2" w:rsidP="0027635F">
      <w:pPr>
        <w:spacing w:line="360" w:lineRule="auto"/>
        <w:jc w:val="both"/>
        <w:rPr>
          <w:rFonts w:ascii="Tahoma" w:hAnsi="Tahoma" w:cs="Tahoma"/>
          <w:b/>
          <w:sz w:val="24"/>
          <w:szCs w:val="24"/>
          <w:lang w:val="en-GB"/>
        </w:rPr>
      </w:pPr>
      <w:r w:rsidRPr="00D609A2">
        <w:rPr>
          <w:rFonts w:ascii="Tahoma" w:hAnsi="Tahoma" w:cs="Tahoma"/>
          <w:b/>
          <w:sz w:val="24"/>
          <w:szCs w:val="24"/>
          <w:lang w:val="en-GB"/>
        </w:rPr>
        <w:t>3.0</w:t>
      </w:r>
      <w:r w:rsidRPr="00D609A2">
        <w:rPr>
          <w:rFonts w:ascii="Tahoma" w:hAnsi="Tahoma" w:cs="Tahoma"/>
          <w:b/>
          <w:sz w:val="24"/>
          <w:szCs w:val="24"/>
          <w:lang w:val="en-GB"/>
        </w:rPr>
        <w:tab/>
      </w:r>
      <w:r w:rsidR="00476211" w:rsidRPr="00D609A2">
        <w:rPr>
          <w:rFonts w:ascii="Tahoma" w:hAnsi="Tahoma" w:cs="Tahoma"/>
          <w:b/>
          <w:sz w:val="24"/>
          <w:szCs w:val="24"/>
          <w:lang w:val="en-GB"/>
        </w:rPr>
        <w:t>RATES</w:t>
      </w:r>
    </w:p>
    <w:p w:rsidR="00476211" w:rsidRPr="00D609A2" w:rsidRDefault="00476211" w:rsidP="0027635F">
      <w:pPr>
        <w:spacing w:line="360" w:lineRule="auto"/>
        <w:jc w:val="both"/>
        <w:rPr>
          <w:rFonts w:ascii="Tahoma" w:hAnsi="Tahoma" w:cs="Tahoma"/>
          <w:sz w:val="24"/>
          <w:szCs w:val="24"/>
          <w:lang w:val="en-GB"/>
        </w:rPr>
      </w:pPr>
    </w:p>
    <w:p w:rsidR="005527AF" w:rsidRPr="00D609A2" w:rsidRDefault="000B3FF2" w:rsidP="0027635F">
      <w:pPr>
        <w:pStyle w:val="Heading8"/>
        <w:spacing w:line="360" w:lineRule="auto"/>
        <w:rPr>
          <w:rFonts w:ascii="Tahoma" w:hAnsi="Tahoma" w:cs="Tahoma"/>
          <w:b w:val="0"/>
          <w:szCs w:val="24"/>
        </w:rPr>
      </w:pPr>
      <w:r w:rsidRPr="00D609A2">
        <w:rPr>
          <w:rFonts w:ascii="Tahoma" w:hAnsi="Tahoma" w:cs="Tahoma"/>
          <w:b w:val="0"/>
          <w:szCs w:val="24"/>
        </w:rPr>
        <w:t>3.1</w:t>
      </w:r>
      <w:r w:rsidRPr="00D609A2">
        <w:rPr>
          <w:rFonts w:ascii="Tahoma" w:hAnsi="Tahoma" w:cs="Tahoma"/>
          <w:b w:val="0"/>
          <w:szCs w:val="24"/>
        </w:rPr>
        <w:tab/>
      </w:r>
      <w:r w:rsidR="005527AF" w:rsidRPr="00D609A2">
        <w:rPr>
          <w:rFonts w:ascii="Tahoma" w:hAnsi="Tahoma" w:cs="Tahoma"/>
          <w:b w:val="0"/>
          <w:szCs w:val="24"/>
        </w:rPr>
        <w:t>SOLICITORS</w:t>
      </w:r>
    </w:p>
    <w:p w:rsidR="008903F6" w:rsidRPr="00D609A2" w:rsidRDefault="008903F6" w:rsidP="0027635F">
      <w:pPr>
        <w:spacing w:line="360" w:lineRule="auto"/>
        <w:jc w:val="both"/>
        <w:rPr>
          <w:rFonts w:ascii="Tahoma" w:hAnsi="Tahoma" w:cs="Tahoma"/>
          <w:sz w:val="24"/>
          <w:szCs w:val="24"/>
          <w:lang w:val="en-GB"/>
        </w:rPr>
      </w:pPr>
    </w:p>
    <w:p w:rsidR="005527AF" w:rsidRPr="00D609A2" w:rsidRDefault="006B5E2E" w:rsidP="0027635F">
      <w:pPr>
        <w:spacing w:line="360" w:lineRule="auto"/>
        <w:jc w:val="both"/>
        <w:rPr>
          <w:rFonts w:ascii="Tahoma" w:hAnsi="Tahoma" w:cs="Tahoma"/>
          <w:sz w:val="24"/>
          <w:szCs w:val="24"/>
          <w:lang w:val="en-GB"/>
        </w:rPr>
      </w:pPr>
      <w:r w:rsidRPr="00D609A2">
        <w:rPr>
          <w:rFonts w:ascii="Tahoma" w:hAnsi="Tahoma" w:cs="Tahoma"/>
          <w:sz w:val="24"/>
          <w:szCs w:val="24"/>
          <w:lang w:val="en-GB"/>
        </w:rPr>
        <w:t>Where a legal aid direction has been given in respect of a solicitor, fees will be paid on the following terms</w:t>
      </w:r>
      <w:r w:rsidR="005527AF" w:rsidRPr="00D609A2">
        <w:rPr>
          <w:rFonts w:ascii="Tahoma" w:hAnsi="Tahoma" w:cs="Tahoma"/>
          <w:sz w:val="24"/>
          <w:szCs w:val="24"/>
          <w:lang w:val="en-GB"/>
        </w:rPr>
        <w:t>:</w:t>
      </w:r>
    </w:p>
    <w:p w:rsidR="005527AF" w:rsidRPr="00D609A2" w:rsidRDefault="005527AF" w:rsidP="0027635F">
      <w:pPr>
        <w:spacing w:line="360" w:lineRule="auto"/>
        <w:ind w:left="360"/>
        <w:jc w:val="both"/>
        <w:rPr>
          <w:rFonts w:ascii="Tahoma" w:hAnsi="Tahoma" w:cs="Tahoma"/>
          <w:sz w:val="24"/>
          <w:szCs w:val="24"/>
          <w:lang w:val="en-GB"/>
        </w:rPr>
      </w:pPr>
    </w:p>
    <w:p w:rsidR="005527AF" w:rsidRPr="00D609A2" w:rsidRDefault="005527AF" w:rsidP="0027635F">
      <w:pPr>
        <w:pStyle w:val="BodyTextIndent"/>
        <w:numPr>
          <w:ilvl w:val="0"/>
          <w:numId w:val="34"/>
        </w:numPr>
        <w:tabs>
          <w:tab w:val="left" w:pos="1080"/>
        </w:tabs>
        <w:spacing w:line="360" w:lineRule="auto"/>
        <w:jc w:val="both"/>
        <w:rPr>
          <w:rFonts w:ascii="Tahoma" w:hAnsi="Tahoma" w:cs="Tahoma"/>
          <w:szCs w:val="24"/>
        </w:rPr>
      </w:pPr>
      <w:r w:rsidRPr="00D609A2">
        <w:rPr>
          <w:rFonts w:ascii="Tahoma" w:hAnsi="Tahoma" w:cs="Tahoma"/>
          <w:szCs w:val="24"/>
        </w:rPr>
        <w:t xml:space="preserve">£150 for the preparation of an application. </w:t>
      </w:r>
    </w:p>
    <w:p w:rsidR="005527AF" w:rsidRPr="00D609A2" w:rsidRDefault="005527AF" w:rsidP="0027635F">
      <w:pPr>
        <w:pStyle w:val="BodyTextIndent"/>
        <w:tabs>
          <w:tab w:val="left" w:pos="1080"/>
        </w:tabs>
        <w:spacing w:line="360" w:lineRule="auto"/>
        <w:ind w:left="0"/>
        <w:jc w:val="both"/>
        <w:rPr>
          <w:rFonts w:ascii="Tahoma" w:hAnsi="Tahoma" w:cs="Tahoma"/>
          <w:szCs w:val="24"/>
        </w:rPr>
      </w:pPr>
    </w:p>
    <w:p w:rsidR="005527AF" w:rsidRPr="00D609A2" w:rsidRDefault="005527AF" w:rsidP="0027635F">
      <w:pPr>
        <w:pStyle w:val="BodyTextIndent"/>
        <w:numPr>
          <w:ilvl w:val="0"/>
          <w:numId w:val="34"/>
        </w:numPr>
        <w:tabs>
          <w:tab w:val="left" w:pos="1080"/>
        </w:tabs>
        <w:spacing w:line="360" w:lineRule="auto"/>
        <w:jc w:val="both"/>
        <w:rPr>
          <w:rFonts w:ascii="Tahoma" w:hAnsi="Tahoma" w:cs="Tahoma"/>
          <w:szCs w:val="24"/>
        </w:rPr>
      </w:pPr>
      <w:r w:rsidRPr="00D609A2">
        <w:rPr>
          <w:rFonts w:ascii="Tahoma" w:hAnsi="Tahoma" w:cs="Tahoma"/>
          <w:szCs w:val="24"/>
        </w:rPr>
        <w:t>£50 for the preparation of any further supplementary or ancillary applications or the response thereto. No fee is payable in respect of an application for a legal aid direction.</w:t>
      </w:r>
    </w:p>
    <w:p w:rsidR="005527AF" w:rsidRPr="00D609A2" w:rsidRDefault="005527AF" w:rsidP="0027635F">
      <w:pPr>
        <w:spacing w:line="360" w:lineRule="auto"/>
        <w:ind w:left="360"/>
        <w:jc w:val="both"/>
        <w:rPr>
          <w:rFonts w:ascii="Tahoma" w:hAnsi="Tahoma" w:cs="Tahoma"/>
          <w:sz w:val="24"/>
          <w:szCs w:val="24"/>
          <w:lang w:val="en-GB"/>
        </w:rPr>
      </w:pPr>
    </w:p>
    <w:p w:rsidR="0035008D" w:rsidRPr="00D609A2" w:rsidRDefault="0035008D" w:rsidP="0027635F">
      <w:pPr>
        <w:numPr>
          <w:ilvl w:val="0"/>
          <w:numId w:val="34"/>
        </w:numPr>
        <w:tabs>
          <w:tab w:val="left" w:pos="1080"/>
        </w:tabs>
        <w:spacing w:line="360" w:lineRule="auto"/>
        <w:jc w:val="both"/>
        <w:rPr>
          <w:rFonts w:ascii="Tahoma" w:hAnsi="Tahoma" w:cs="Tahoma"/>
          <w:sz w:val="24"/>
          <w:szCs w:val="24"/>
          <w:lang w:val="en-GB"/>
        </w:rPr>
      </w:pPr>
      <w:r w:rsidRPr="00D609A2">
        <w:rPr>
          <w:rFonts w:ascii="Tahoma" w:hAnsi="Tahoma" w:cs="Tahoma"/>
          <w:sz w:val="24"/>
          <w:szCs w:val="24"/>
          <w:lang w:val="en-GB"/>
        </w:rPr>
        <w:t>W</w:t>
      </w:r>
      <w:r w:rsidR="005527AF" w:rsidRPr="00D609A2">
        <w:rPr>
          <w:rFonts w:ascii="Tahoma" w:hAnsi="Tahoma" w:cs="Tahoma"/>
          <w:sz w:val="24"/>
          <w:szCs w:val="24"/>
          <w:lang w:val="en-GB"/>
        </w:rPr>
        <w:t>here an oral hearing is required to determine a substantive application and</w:t>
      </w:r>
      <w:r w:rsidR="00A32040" w:rsidRPr="00D609A2">
        <w:rPr>
          <w:rFonts w:ascii="Tahoma" w:hAnsi="Tahoma" w:cs="Tahoma"/>
          <w:sz w:val="24"/>
          <w:szCs w:val="24"/>
          <w:lang w:val="en-GB"/>
        </w:rPr>
        <w:t xml:space="preserve">/or ancillary appeal, a fee of </w:t>
      </w:r>
      <w:r w:rsidR="005527AF" w:rsidRPr="00D609A2">
        <w:rPr>
          <w:rFonts w:ascii="Tahoma" w:hAnsi="Tahoma" w:cs="Tahoma"/>
          <w:sz w:val="24"/>
          <w:szCs w:val="24"/>
          <w:lang w:val="en-GB"/>
        </w:rPr>
        <w:t>£150 will be paid</w:t>
      </w:r>
      <w:r w:rsidR="00A32040" w:rsidRPr="00D609A2">
        <w:rPr>
          <w:rFonts w:ascii="Tahoma" w:hAnsi="Tahoma" w:cs="Tahoma"/>
          <w:sz w:val="24"/>
          <w:szCs w:val="24"/>
          <w:lang w:val="en-GB"/>
        </w:rPr>
        <w:t xml:space="preserve"> for attendance at the hearing</w:t>
      </w:r>
      <w:r w:rsidR="005527AF" w:rsidRPr="00D609A2">
        <w:rPr>
          <w:rFonts w:ascii="Tahoma" w:hAnsi="Tahoma" w:cs="Tahoma"/>
          <w:sz w:val="24"/>
          <w:szCs w:val="24"/>
          <w:lang w:val="en-GB"/>
        </w:rPr>
        <w:t>. Payment for professional work (up to a maximum of 8 hours) undertaken in respect of the hearing will be paid at the rate of £100 per hour.</w:t>
      </w:r>
      <w:r w:rsidR="007F707B" w:rsidRPr="00D609A2">
        <w:rPr>
          <w:rFonts w:ascii="Tahoma" w:hAnsi="Tahoma" w:cs="Tahoma"/>
          <w:sz w:val="24"/>
          <w:szCs w:val="24"/>
          <w:lang w:val="en-GB"/>
        </w:rPr>
        <w:t xml:space="preserve">  Solicitors cannot claim extensions of time to cover time spent at hearings as this is covered in the oral hearing fee.</w:t>
      </w:r>
      <w:r w:rsidR="005527AF" w:rsidRPr="00D609A2">
        <w:rPr>
          <w:rFonts w:ascii="Tahoma" w:hAnsi="Tahoma" w:cs="Tahoma"/>
          <w:sz w:val="24"/>
          <w:szCs w:val="24"/>
          <w:lang w:val="en-GB"/>
        </w:rPr>
        <w:t xml:space="preserve"> </w:t>
      </w:r>
    </w:p>
    <w:p w:rsidR="006B5E2E" w:rsidRPr="00D609A2" w:rsidRDefault="006B5E2E" w:rsidP="0027635F">
      <w:pPr>
        <w:tabs>
          <w:tab w:val="left" w:pos="1080"/>
        </w:tabs>
        <w:spacing w:line="360" w:lineRule="auto"/>
        <w:jc w:val="both"/>
        <w:rPr>
          <w:rFonts w:ascii="Tahoma" w:hAnsi="Tahoma" w:cs="Tahoma"/>
          <w:sz w:val="24"/>
          <w:szCs w:val="24"/>
          <w:lang w:val="en-GB"/>
        </w:rPr>
      </w:pPr>
    </w:p>
    <w:p w:rsidR="006B5E2E" w:rsidRPr="00D609A2" w:rsidRDefault="0035008D" w:rsidP="0027635F">
      <w:pPr>
        <w:numPr>
          <w:ilvl w:val="0"/>
          <w:numId w:val="34"/>
        </w:numPr>
        <w:tabs>
          <w:tab w:val="left" w:pos="1080"/>
        </w:tabs>
        <w:spacing w:line="360" w:lineRule="auto"/>
        <w:jc w:val="both"/>
        <w:rPr>
          <w:rFonts w:ascii="Tahoma" w:hAnsi="Tahoma" w:cs="Tahoma"/>
          <w:sz w:val="24"/>
          <w:szCs w:val="24"/>
          <w:lang w:val="en-GB"/>
        </w:rPr>
      </w:pPr>
      <w:r w:rsidRPr="00D609A2">
        <w:rPr>
          <w:rFonts w:ascii="Tahoma" w:hAnsi="Tahoma" w:cs="Tahoma"/>
          <w:sz w:val="24"/>
          <w:szCs w:val="24"/>
          <w:lang w:val="en-GB"/>
        </w:rPr>
        <w:t xml:space="preserve">The fees </w:t>
      </w:r>
      <w:r w:rsidR="006B5E2E" w:rsidRPr="00D609A2">
        <w:rPr>
          <w:rFonts w:ascii="Tahoma" w:hAnsi="Tahoma" w:cs="Tahoma"/>
          <w:sz w:val="24"/>
          <w:szCs w:val="24"/>
          <w:lang w:val="en-GB"/>
        </w:rPr>
        <w:t xml:space="preserve">for professional work </w:t>
      </w:r>
      <w:r w:rsidRPr="00D609A2">
        <w:rPr>
          <w:rFonts w:ascii="Tahoma" w:hAnsi="Tahoma" w:cs="Tahoma"/>
          <w:sz w:val="24"/>
          <w:szCs w:val="24"/>
          <w:lang w:val="en-GB"/>
        </w:rPr>
        <w:t xml:space="preserve">are intended to cover the costs of time taken for preparation, consultation, advocacy, waiting, travel (up to 40 miles) </w:t>
      </w:r>
      <w:r w:rsidR="00D83CF1" w:rsidRPr="00D609A2">
        <w:rPr>
          <w:rFonts w:ascii="Tahoma" w:hAnsi="Tahoma" w:cs="Tahoma"/>
          <w:sz w:val="24"/>
          <w:szCs w:val="24"/>
          <w:lang w:val="en-GB"/>
        </w:rPr>
        <w:t xml:space="preserve">photocopying, </w:t>
      </w:r>
      <w:r w:rsidRPr="00D609A2">
        <w:rPr>
          <w:rFonts w:ascii="Tahoma" w:hAnsi="Tahoma" w:cs="Tahoma"/>
          <w:sz w:val="24"/>
          <w:szCs w:val="24"/>
          <w:lang w:val="en-GB"/>
        </w:rPr>
        <w:t xml:space="preserve">routine letters and telephone calls. </w:t>
      </w:r>
    </w:p>
    <w:p w:rsidR="006B5E2E" w:rsidRPr="00D609A2" w:rsidRDefault="006B5E2E" w:rsidP="0027635F">
      <w:pPr>
        <w:tabs>
          <w:tab w:val="left" w:pos="1080"/>
        </w:tabs>
        <w:spacing w:line="360" w:lineRule="auto"/>
        <w:jc w:val="both"/>
        <w:rPr>
          <w:rFonts w:ascii="Tahoma" w:hAnsi="Tahoma" w:cs="Tahoma"/>
          <w:sz w:val="24"/>
          <w:szCs w:val="24"/>
          <w:lang w:val="en-GB"/>
        </w:rPr>
      </w:pPr>
    </w:p>
    <w:p w:rsidR="005527AF" w:rsidRPr="00D609A2" w:rsidRDefault="00A32040" w:rsidP="0027635F">
      <w:pPr>
        <w:numPr>
          <w:ilvl w:val="0"/>
          <w:numId w:val="34"/>
        </w:numPr>
        <w:tabs>
          <w:tab w:val="left" w:pos="1080"/>
        </w:tabs>
        <w:spacing w:line="360" w:lineRule="auto"/>
        <w:jc w:val="both"/>
        <w:rPr>
          <w:rFonts w:ascii="Tahoma" w:hAnsi="Tahoma" w:cs="Tahoma"/>
          <w:sz w:val="24"/>
          <w:szCs w:val="24"/>
          <w:lang w:val="en-GB"/>
        </w:rPr>
      </w:pPr>
      <w:r w:rsidRPr="00D609A2">
        <w:rPr>
          <w:rFonts w:ascii="Tahoma" w:hAnsi="Tahoma" w:cs="Tahoma"/>
          <w:sz w:val="24"/>
          <w:szCs w:val="24"/>
          <w:lang w:val="en-GB"/>
        </w:rPr>
        <w:t xml:space="preserve">Mileage costs in respect of </w:t>
      </w:r>
      <w:r w:rsidR="0035008D" w:rsidRPr="00D609A2">
        <w:rPr>
          <w:rFonts w:ascii="Tahoma" w:hAnsi="Tahoma" w:cs="Tahoma"/>
          <w:sz w:val="24"/>
          <w:szCs w:val="24"/>
          <w:lang w:val="en-GB"/>
        </w:rPr>
        <w:t xml:space="preserve">any consultation with the applicant and </w:t>
      </w:r>
      <w:r w:rsidRPr="00D609A2">
        <w:rPr>
          <w:rFonts w:ascii="Tahoma" w:hAnsi="Tahoma" w:cs="Tahoma"/>
          <w:sz w:val="24"/>
          <w:szCs w:val="24"/>
          <w:lang w:val="en-GB"/>
        </w:rPr>
        <w:t>attendance at a hearing will be reimbursed at a rat</w:t>
      </w:r>
      <w:r w:rsidR="0035008D" w:rsidRPr="00D609A2">
        <w:rPr>
          <w:rFonts w:ascii="Tahoma" w:hAnsi="Tahoma" w:cs="Tahoma"/>
          <w:sz w:val="24"/>
          <w:szCs w:val="24"/>
          <w:lang w:val="en-GB"/>
        </w:rPr>
        <w:t>e of</w:t>
      </w:r>
      <w:r w:rsidRPr="00D609A2">
        <w:rPr>
          <w:rFonts w:ascii="Tahoma" w:hAnsi="Tahoma" w:cs="Tahoma"/>
          <w:sz w:val="24"/>
          <w:szCs w:val="24"/>
          <w:lang w:val="en-GB"/>
        </w:rPr>
        <w:t xml:space="preserve"> 45p per mile</w:t>
      </w:r>
      <w:r w:rsidR="0035008D" w:rsidRPr="00D609A2">
        <w:rPr>
          <w:rFonts w:ascii="Tahoma" w:hAnsi="Tahoma" w:cs="Tahoma"/>
          <w:sz w:val="24"/>
          <w:szCs w:val="24"/>
          <w:lang w:val="en-GB"/>
        </w:rPr>
        <w:t>.</w:t>
      </w:r>
      <w:r w:rsidRPr="00D609A2">
        <w:rPr>
          <w:rFonts w:ascii="Tahoma" w:hAnsi="Tahoma" w:cs="Tahoma"/>
          <w:sz w:val="24"/>
          <w:szCs w:val="24"/>
          <w:lang w:val="en-GB"/>
        </w:rPr>
        <w:t xml:space="preserve"> W</w:t>
      </w:r>
      <w:r w:rsidRPr="00D609A2">
        <w:rPr>
          <w:rFonts w:ascii="Tahoma" w:hAnsi="Tahoma" w:cs="Tahoma"/>
          <w:sz w:val="24"/>
          <w:szCs w:val="24"/>
        </w:rPr>
        <w:t xml:space="preserve">here a return journey in excess of </w:t>
      </w:r>
      <w:r w:rsidR="007F707B" w:rsidRPr="00D609A2">
        <w:rPr>
          <w:rFonts w:ascii="Tahoma" w:hAnsi="Tahoma" w:cs="Tahoma"/>
          <w:sz w:val="24"/>
          <w:szCs w:val="24"/>
        </w:rPr>
        <w:t xml:space="preserve">45 </w:t>
      </w:r>
      <w:r w:rsidR="0035008D" w:rsidRPr="00D609A2">
        <w:rPr>
          <w:rFonts w:ascii="Tahoma" w:hAnsi="Tahoma" w:cs="Tahoma"/>
          <w:sz w:val="24"/>
          <w:szCs w:val="24"/>
        </w:rPr>
        <w:t>miles is required in order</w:t>
      </w:r>
      <w:r w:rsidRPr="00D609A2">
        <w:rPr>
          <w:rFonts w:ascii="Tahoma" w:hAnsi="Tahoma" w:cs="Tahoma"/>
          <w:sz w:val="24"/>
          <w:szCs w:val="24"/>
        </w:rPr>
        <w:t xml:space="preserve"> </w:t>
      </w:r>
      <w:r w:rsidR="0035008D" w:rsidRPr="00D609A2">
        <w:rPr>
          <w:rFonts w:ascii="Tahoma" w:hAnsi="Tahoma" w:cs="Tahoma"/>
          <w:sz w:val="24"/>
          <w:szCs w:val="24"/>
        </w:rPr>
        <w:t xml:space="preserve">to take instructions from the applicant or to </w:t>
      </w:r>
      <w:r w:rsidRPr="00D609A2">
        <w:rPr>
          <w:rFonts w:ascii="Tahoma" w:hAnsi="Tahoma" w:cs="Tahoma"/>
          <w:sz w:val="24"/>
          <w:szCs w:val="24"/>
        </w:rPr>
        <w:t>attend the oral hearing, travelling time at</w:t>
      </w:r>
      <w:r w:rsidRPr="00D609A2">
        <w:rPr>
          <w:rFonts w:ascii="Tahoma" w:hAnsi="Tahoma" w:cs="Tahoma"/>
          <w:sz w:val="24"/>
          <w:szCs w:val="24"/>
          <w:lang w:val="en-GB"/>
        </w:rPr>
        <w:t xml:space="preserve"> £29.25 per hour will also be paid.</w:t>
      </w:r>
      <w:r w:rsidR="0035008D" w:rsidRPr="00D609A2">
        <w:rPr>
          <w:rFonts w:ascii="Tahoma" w:hAnsi="Tahoma" w:cs="Tahoma"/>
          <w:sz w:val="24"/>
          <w:szCs w:val="24"/>
          <w:lang w:val="en-GB"/>
        </w:rPr>
        <w:t xml:space="preserve"> </w:t>
      </w:r>
    </w:p>
    <w:p w:rsidR="0035008D" w:rsidRPr="00D609A2" w:rsidRDefault="0035008D" w:rsidP="0027635F">
      <w:pPr>
        <w:pStyle w:val="ListParagraph"/>
        <w:spacing w:line="360" w:lineRule="auto"/>
        <w:jc w:val="both"/>
        <w:rPr>
          <w:rFonts w:ascii="Tahoma" w:hAnsi="Tahoma" w:cs="Tahoma"/>
          <w:sz w:val="24"/>
          <w:szCs w:val="24"/>
          <w:lang w:val="en-GB"/>
        </w:rPr>
      </w:pPr>
    </w:p>
    <w:p w:rsidR="005527AF" w:rsidRPr="00D609A2" w:rsidRDefault="00D83CF1" w:rsidP="0027635F">
      <w:pPr>
        <w:pStyle w:val="BodyTextIndent"/>
        <w:numPr>
          <w:ilvl w:val="0"/>
          <w:numId w:val="34"/>
        </w:numPr>
        <w:tabs>
          <w:tab w:val="left" w:pos="567"/>
        </w:tabs>
        <w:spacing w:line="360" w:lineRule="auto"/>
        <w:jc w:val="both"/>
        <w:rPr>
          <w:rFonts w:ascii="Tahoma" w:hAnsi="Tahoma" w:cs="Tahoma"/>
          <w:szCs w:val="24"/>
        </w:rPr>
      </w:pPr>
      <w:r w:rsidRPr="00D609A2">
        <w:rPr>
          <w:rFonts w:ascii="Tahoma" w:hAnsi="Tahoma" w:cs="Tahoma"/>
          <w:szCs w:val="24"/>
        </w:rPr>
        <w:t xml:space="preserve">  </w:t>
      </w:r>
      <w:r w:rsidR="005527AF" w:rsidRPr="00D609A2">
        <w:rPr>
          <w:rFonts w:ascii="Tahoma" w:hAnsi="Tahoma" w:cs="Tahoma"/>
          <w:szCs w:val="24"/>
        </w:rPr>
        <w:t>Outlay on commissioning expert report</w:t>
      </w:r>
      <w:r w:rsidR="00FD6CA4" w:rsidRPr="00D609A2">
        <w:rPr>
          <w:rFonts w:ascii="Tahoma" w:hAnsi="Tahoma" w:cs="Tahoma"/>
          <w:szCs w:val="24"/>
        </w:rPr>
        <w:t>s</w:t>
      </w:r>
      <w:r w:rsidR="005527AF" w:rsidRPr="00D609A2">
        <w:rPr>
          <w:rFonts w:ascii="Tahoma" w:hAnsi="Tahoma" w:cs="Tahoma"/>
          <w:szCs w:val="24"/>
        </w:rPr>
        <w:t xml:space="preserve"> will be reimbursed, where the need for such </w:t>
      </w:r>
      <w:r w:rsidR="00FD6CA4" w:rsidRPr="00D609A2">
        <w:rPr>
          <w:rFonts w:ascii="Tahoma" w:hAnsi="Tahoma" w:cs="Tahoma"/>
          <w:szCs w:val="24"/>
        </w:rPr>
        <w:t xml:space="preserve">a </w:t>
      </w:r>
      <w:r w:rsidR="005527AF" w:rsidRPr="00D609A2">
        <w:rPr>
          <w:rFonts w:ascii="Tahoma" w:hAnsi="Tahoma" w:cs="Tahoma"/>
          <w:szCs w:val="24"/>
        </w:rPr>
        <w:t xml:space="preserve">report </w:t>
      </w:r>
      <w:r w:rsidRPr="00D609A2">
        <w:rPr>
          <w:rFonts w:ascii="Tahoma" w:hAnsi="Tahoma" w:cs="Tahoma"/>
          <w:szCs w:val="24"/>
        </w:rPr>
        <w:t xml:space="preserve">and a fee estimate </w:t>
      </w:r>
      <w:r w:rsidR="005527AF" w:rsidRPr="00D609A2">
        <w:rPr>
          <w:rFonts w:ascii="Tahoma" w:hAnsi="Tahoma" w:cs="Tahoma"/>
          <w:szCs w:val="24"/>
        </w:rPr>
        <w:t>has been accepted in advance by the Commissioners.</w:t>
      </w:r>
      <w:r w:rsidR="007F707B" w:rsidRPr="00D609A2">
        <w:rPr>
          <w:rFonts w:ascii="Tahoma" w:hAnsi="Tahoma" w:cs="Tahoma"/>
          <w:szCs w:val="24"/>
        </w:rPr>
        <w:t xml:space="preserve"> Applications for such reports should be su</w:t>
      </w:r>
      <w:r w:rsidRPr="00D609A2">
        <w:rPr>
          <w:rFonts w:ascii="Tahoma" w:hAnsi="Tahoma" w:cs="Tahoma"/>
          <w:szCs w:val="24"/>
        </w:rPr>
        <w:t>bmitted to the Commissioners by way of</w:t>
      </w:r>
      <w:r w:rsidR="007F707B" w:rsidRPr="00D609A2">
        <w:rPr>
          <w:rFonts w:ascii="Tahoma" w:hAnsi="Tahoma" w:cs="Tahoma"/>
          <w:szCs w:val="24"/>
        </w:rPr>
        <w:t xml:space="preserve"> an ancillary application detailing the reasons for requesting the report and the </w:t>
      </w:r>
      <w:r w:rsidRPr="00D609A2">
        <w:rPr>
          <w:rFonts w:ascii="Tahoma" w:hAnsi="Tahoma" w:cs="Tahoma"/>
          <w:szCs w:val="24"/>
        </w:rPr>
        <w:t xml:space="preserve">projected </w:t>
      </w:r>
      <w:r w:rsidR="007F707B" w:rsidRPr="00D609A2">
        <w:rPr>
          <w:rFonts w:ascii="Tahoma" w:hAnsi="Tahoma" w:cs="Tahoma"/>
          <w:szCs w:val="24"/>
        </w:rPr>
        <w:t>cost</w:t>
      </w:r>
      <w:r w:rsidRPr="00D609A2">
        <w:rPr>
          <w:rFonts w:ascii="Tahoma" w:hAnsi="Tahoma" w:cs="Tahoma"/>
          <w:szCs w:val="24"/>
        </w:rPr>
        <w:t>s</w:t>
      </w:r>
      <w:r w:rsidR="007F707B" w:rsidRPr="00D609A2">
        <w:rPr>
          <w:rFonts w:ascii="Tahoma" w:hAnsi="Tahoma" w:cs="Tahoma"/>
          <w:szCs w:val="24"/>
        </w:rPr>
        <w:t xml:space="preserve"> </w:t>
      </w:r>
      <w:r w:rsidRPr="00D609A2">
        <w:rPr>
          <w:rFonts w:ascii="Tahoma" w:hAnsi="Tahoma" w:cs="Tahoma"/>
          <w:szCs w:val="24"/>
        </w:rPr>
        <w:t xml:space="preserve">in relation to preparation of </w:t>
      </w:r>
      <w:r w:rsidR="007F707B" w:rsidRPr="00D609A2">
        <w:rPr>
          <w:rFonts w:ascii="Tahoma" w:hAnsi="Tahoma" w:cs="Tahoma"/>
          <w:szCs w:val="24"/>
        </w:rPr>
        <w:t>the report</w:t>
      </w:r>
      <w:r w:rsidRPr="00D609A2">
        <w:rPr>
          <w:rFonts w:ascii="Tahoma" w:hAnsi="Tahoma" w:cs="Tahoma"/>
          <w:szCs w:val="24"/>
        </w:rPr>
        <w:t xml:space="preserve"> and </w:t>
      </w:r>
      <w:r w:rsidR="007F707B" w:rsidRPr="00D609A2">
        <w:rPr>
          <w:rFonts w:ascii="Tahoma" w:hAnsi="Tahoma" w:cs="Tahoma"/>
          <w:szCs w:val="24"/>
        </w:rPr>
        <w:t>attendance of the report writer at the hearing.</w:t>
      </w:r>
      <w:r w:rsidR="00BB102C" w:rsidRPr="00D609A2">
        <w:rPr>
          <w:rFonts w:ascii="Tahoma" w:hAnsi="Tahoma" w:cs="Tahoma"/>
          <w:szCs w:val="24"/>
        </w:rPr>
        <w:t xml:space="preserve"> Consideration should always be given, in the first instance, to consultants based in Northern Ireland.</w:t>
      </w:r>
    </w:p>
    <w:p w:rsidR="005527AF" w:rsidRPr="00D609A2" w:rsidRDefault="005527AF" w:rsidP="0027635F">
      <w:pPr>
        <w:pStyle w:val="BodyTextIndent"/>
        <w:tabs>
          <w:tab w:val="left" w:pos="720"/>
          <w:tab w:val="left" w:pos="1080"/>
        </w:tabs>
        <w:spacing w:line="360" w:lineRule="auto"/>
        <w:ind w:left="0"/>
        <w:jc w:val="both"/>
        <w:rPr>
          <w:rFonts w:ascii="Tahoma" w:hAnsi="Tahoma" w:cs="Tahoma"/>
          <w:szCs w:val="24"/>
        </w:rPr>
      </w:pPr>
    </w:p>
    <w:p w:rsidR="005527AF" w:rsidRPr="00D609A2" w:rsidRDefault="005527AF" w:rsidP="0027635F">
      <w:pPr>
        <w:pStyle w:val="BodyTextIndent"/>
        <w:numPr>
          <w:ilvl w:val="0"/>
          <w:numId w:val="34"/>
        </w:numPr>
        <w:tabs>
          <w:tab w:val="left" w:pos="720"/>
          <w:tab w:val="left" w:pos="1080"/>
        </w:tabs>
        <w:spacing w:line="360" w:lineRule="auto"/>
        <w:jc w:val="both"/>
        <w:rPr>
          <w:rFonts w:ascii="Tahoma" w:hAnsi="Tahoma" w:cs="Tahoma"/>
          <w:szCs w:val="24"/>
        </w:rPr>
      </w:pPr>
      <w:r w:rsidRPr="00D609A2">
        <w:rPr>
          <w:rFonts w:ascii="Tahoma" w:hAnsi="Tahoma" w:cs="Tahoma"/>
          <w:szCs w:val="24"/>
        </w:rPr>
        <w:t>No solicitor will be paid travelling time or mileage in respect of more than one visit to the same prison on the same day, regardless of the number of applicants seen.</w:t>
      </w:r>
    </w:p>
    <w:p w:rsidR="005527AF" w:rsidRPr="00D609A2" w:rsidRDefault="005527AF" w:rsidP="0027635F">
      <w:pPr>
        <w:spacing w:line="360" w:lineRule="auto"/>
        <w:jc w:val="both"/>
        <w:rPr>
          <w:rFonts w:ascii="Tahoma" w:hAnsi="Tahoma" w:cs="Tahoma"/>
          <w:sz w:val="24"/>
          <w:szCs w:val="24"/>
          <w:lang w:val="en-GB"/>
        </w:rPr>
      </w:pPr>
    </w:p>
    <w:p w:rsidR="005527AF" w:rsidRDefault="005527AF" w:rsidP="0027635F">
      <w:pPr>
        <w:pStyle w:val="BodyTextIndent"/>
        <w:numPr>
          <w:ilvl w:val="0"/>
          <w:numId w:val="34"/>
        </w:numPr>
        <w:spacing w:line="360" w:lineRule="auto"/>
        <w:ind w:right="-61"/>
        <w:jc w:val="both"/>
        <w:rPr>
          <w:rFonts w:ascii="Tahoma" w:hAnsi="Tahoma" w:cs="Tahoma"/>
          <w:szCs w:val="24"/>
        </w:rPr>
      </w:pPr>
      <w:r w:rsidRPr="00D609A2">
        <w:rPr>
          <w:rFonts w:ascii="Tahoma" w:hAnsi="Tahoma" w:cs="Tahoma"/>
          <w:szCs w:val="24"/>
        </w:rPr>
        <w:t xml:space="preserve">Extension of costs </w:t>
      </w:r>
      <w:r w:rsidR="0006316F" w:rsidRPr="00D609A2">
        <w:rPr>
          <w:rFonts w:ascii="Tahoma" w:hAnsi="Tahoma" w:cs="Tahoma"/>
          <w:szCs w:val="24"/>
        </w:rPr>
        <w:t xml:space="preserve">for professional work </w:t>
      </w:r>
      <w:r w:rsidRPr="00D609A2">
        <w:rPr>
          <w:rFonts w:ascii="Tahoma" w:hAnsi="Tahoma" w:cs="Tahoma"/>
          <w:szCs w:val="24"/>
        </w:rPr>
        <w:t>(which wil</w:t>
      </w:r>
      <w:r w:rsidR="0006316F" w:rsidRPr="00D609A2">
        <w:rPr>
          <w:rFonts w:ascii="Tahoma" w:hAnsi="Tahoma" w:cs="Tahoma"/>
          <w:szCs w:val="24"/>
        </w:rPr>
        <w:t xml:space="preserve">l be at the rates set out </w:t>
      </w:r>
      <w:r w:rsidRPr="00D609A2">
        <w:rPr>
          <w:rFonts w:ascii="Tahoma" w:hAnsi="Tahoma" w:cs="Tahoma"/>
          <w:szCs w:val="24"/>
        </w:rPr>
        <w:t xml:space="preserve">above) will be granted </w:t>
      </w:r>
      <w:r w:rsidR="00453B92" w:rsidRPr="00D609A2">
        <w:rPr>
          <w:rFonts w:ascii="Tahoma" w:hAnsi="Tahoma" w:cs="Tahoma"/>
          <w:szCs w:val="24"/>
        </w:rPr>
        <w:t xml:space="preserve">in advance </w:t>
      </w:r>
      <w:r w:rsidRPr="00D609A2">
        <w:rPr>
          <w:rFonts w:ascii="Tahoma" w:hAnsi="Tahoma" w:cs="Tahoma"/>
          <w:szCs w:val="24"/>
        </w:rPr>
        <w:t xml:space="preserve">only where the Commissioners are satisfied that work in excess of the </w:t>
      </w:r>
      <w:r w:rsidR="006B5E2E" w:rsidRPr="00D609A2">
        <w:rPr>
          <w:rFonts w:ascii="Tahoma" w:hAnsi="Tahoma" w:cs="Tahoma"/>
          <w:szCs w:val="24"/>
        </w:rPr>
        <w:t xml:space="preserve">standard upper limit of £800 </w:t>
      </w:r>
      <w:r w:rsidRPr="00D609A2">
        <w:rPr>
          <w:rFonts w:ascii="Tahoma" w:hAnsi="Tahoma" w:cs="Tahoma"/>
          <w:szCs w:val="24"/>
        </w:rPr>
        <w:t xml:space="preserve">is necessitated by the particular characteristics of the application.  </w:t>
      </w:r>
      <w:r w:rsidRPr="00D609A2">
        <w:rPr>
          <w:rFonts w:ascii="Tahoma" w:hAnsi="Tahoma" w:cs="Tahoma"/>
          <w:b/>
          <w:szCs w:val="24"/>
        </w:rPr>
        <w:t>A</w:t>
      </w:r>
      <w:r w:rsidR="006B5E2E" w:rsidRPr="00D609A2">
        <w:rPr>
          <w:rFonts w:ascii="Tahoma" w:hAnsi="Tahoma" w:cs="Tahoma"/>
          <w:b/>
          <w:szCs w:val="24"/>
        </w:rPr>
        <w:t>ny such extensions of costs will only be considered where an a</w:t>
      </w:r>
      <w:r w:rsidRPr="00D609A2">
        <w:rPr>
          <w:rFonts w:ascii="Tahoma" w:hAnsi="Tahoma" w:cs="Tahoma"/>
          <w:b/>
          <w:szCs w:val="24"/>
        </w:rPr>
        <w:t xml:space="preserve">pplication </w:t>
      </w:r>
      <w:r w:rsidR="006B5E2E" w:rsidRPr="00D609A2">
        <w:rPr>
          <w:rFonts w:ascii="Tahoma" w:hAnsi="Tahoma" w:cs="Tahoma"/>
          <w:b/>
          <w:szCs w:val="24"/>
        </w:rPr>
        <w:t xml:space="preserve">has been </w:t>
      </w:r>
      <w:r w:rsidR="00453B92" w:rsidRPr="00D609A2">
        <w:rPr>
          <w:rFonts w:ascii="Tahoma" w:hAnsi="Tahoma" w:cs="Tahoma"/>
          <w:b/>
          <w:szCs w:val="24"/>
        </w:rPr>
        <w:t>made in writing and approved by the Commissioners in advance</w:t>
      </w:r>
      <w:r w:rsidR="00326D32" w:rsidRPr="00D609A2">
        <w:rPr>
          <w:rFonts w:ascii="Tahoma" w:hAnsi="Tahoma" w:cs="Tahoma"/>
          <w:b/>
          <w:szCs w:val="24"/>
        </w:rPr>
        <w:t xml:space="preserve"> of the work</w:t>
      </w:r>
      <w:r w:rsidR="0006316F" w:rsidRPr="00D609A2">
        <w:rPr>
          <w:rFonts w:ascii="Tahoma" w:hAnsi="Tahoma" w:cs="Tahoma"/>
          <w:b/>
          <w:szCs w:val="24"/>
        </w:rPr>
        <w:t xml:space="preserve"> being undertaken</w:t>
      </w:r>
      <w:r w:rsidR="00453B92" w:rsidRPr="00D609A2">
        <w:rPr>
          <w:rFonts w:ascii="Tahoma" w:hAnsi="Tahoma" w:cs="Tahoma"/>
          <w:b/>
          <w:szCs w:val="24"/>
        </w:rPr>
        <w:t>.</w:t>
      </w:r>
      <w:r w:rsidR="007F707B" w:rsidRPr="00D609A2">
        <w:rPr>
          <w:rFonts w:ascii="Tahoma" w:hAnsi="Tahoma" w:cs="Tahoma"/>
          <w:szCs w:val="24"/>
        </w:rPr>
        <w:t xml:space="preserve"> </w:t>
      </w:r>
      <w:r w:rsidR="008E7B51">
        <w:rPr>
          <w:rFonts w:ascii="Tahoma" w:hAnsi="Tahoma" w:cs="Tahoma"/>
          <w:szCs w:val="24"/>
        </w:rPr>
        <w:t>Consideration will be given to factors including whether or not counsel has been instructed and the complexity of the case.</w:t>
      </w:r>
    </w:p>
    <w:p w:rsidR="008E7B51" w:rsidRDefault="008E7B51" w:rsidP="00EE6053">
      <w:pPr>
        <w:pStyle w:val="ListParagraph"/>
        <w:rPr>
          <w:rFonts w:ascii="Tahoma" w:hAnsi="Tahoma" w:cs="Tahoma"/>
          <w:szCs w:val="24"/>
        </w:rPr>
      </w:pPr>
    </w:p>
    <w:p w:rsidR="008E7B51" w:rsidRPr="00D609A2" w:rsidRDefault="008E7B51" w:rsidP="0027635F">
      <w:pPr>
        <w:pStyle w:val="BodyTextIndent"/>
        <w:numPr>
          <w:ilvl w:val="0"/>
          <w:numId w:val="34"/>
        </w:numPr>
        <w:spacing w:line="360" w:lineRule="auto"/>
        <w:ind w:right="-61"/>
        <w:jc w:val="both"/>
        <w:rPr>
          <w:rFonts w:ascii="Tahoma" w:hAnsi="Tahoma" w:cs="Tahoma"/>
          <w:szCs w:val="24"/>
        </w:rPr>
      </w:pPr>
      <w:r>
        <w:rPr>
          <w:rFonts w:ascii="Tahoma" w:hAnsi="Tahoma" w:cs="Tahoma"/>
          <w:szCs w:val="24"/>
        </w:rPr>
        <w:t>Where a legal aid direction has been given in respect of counsel, solicitor and counsel must ensure that there is no duplication in the work undertaken.</w:t>
      </w:r>
    </w:p>
    <w:p w:rsidR="005527AF" w:rsidRPr="00D609A2" w:rsidRDefault="005527AF" w:rsidP="0027635F">
      <w:pPr>
        <w:spacing w:line="360" w:lineRule="auto"/>
        <w:jc w:val="both"/>
        <w:rPr>
          <w:rFonts w:ascii="Tahoma" w:hAnsi="Tahoma" w:cs="Tahoma"/>
          <w:sz w:val="24"/>
          <w:szCs w:val="24"/>
          <w:lang w:val="en-GB"/>
        </w:rPr>
      </w:pPr>
    </w:p>
    <w:p w:rsidR="005527AF" w:rsidRPr="00D609A2" w:rsidRDefault="005527AF" w:rsidP="0027635F">
      <w:pPr>
        <w:numPr>
          <w:ilvl w:val="0"/>
          <w:numId w:val="34"/>
        </w:numPr>
        <w:spacing w:line="360" w:lineRule="auto"/>
        <w:jc w:val="both"/>
        <w:rPr>
          <w:rFonts w:ascii="Tahoma" w:hAnsi="Tahoma" w:cs="Tahoma"/>
          <w:sz w:val="24"/>
          <w:szCs w:val="24"/>
          <w:lang w:val="en-GB"/>
        </w:rPr>
      </w:pPr>
      <w:r w:rsidRPr="00D609A2">
        <w:rPr>
          <w:rFonts w:ascii="Tahoma" w:hAnsi="Tahoma" w:cs="Tahoma"/>
          <w:sz w:val="24"/>
          <w:szCs w:val="24"/>
          <w:lang w:val="en-GB"/>
        </w:rPr>
        <w:t>Solicitors will be reimbursed on foot of a duly completed claim form, which will be issued with the legal aid direction. The claim form should be returned to the Commissioners’ Secretariat within 6 months of the substantive determination.</w:t>
      </w:r>
    </w:p>
    <w:p w:rsidR="00BC5A44" w:rsidRPr="00D609A2" w:rsidRDefault="00BC5A44" w:rsidP="0027635F">
      <w:pPr>
        <w:spacing w:line="360" w:lineRule="auto"/>
        <w:jc w:val="both"/>
        <w:rPr>
          <w:rFonts w:ascii="Tahoma" w:hAnsi="Tahoma" w:cs="Tahoma"/>
          <w:sz w:val="24"/>
          <w:szCs w:val="24"/>
          <w:lang w:val="en-GB"/>
        </w:rPr>
      </w:pPr>
    </w:p>
    <w:p w:rsidR="008F4403" w:rsidRPr="00D609A2" w:rsidRDefault="008F4403" w:rsidP="0027635F">
      <w:pPr>
        <w:spacing w:line="360" w:lineRule="auto"/>
        <w:ind w:firstLine="720"/>
        <w:jc w:val="both"/>
        <w:rPr>
          <w:rFonts w:ascii="Tahoma" w:hAnsi="Tahoma" w:cs="Tahoma"/>
          <w:b/>
          <w:sz w:val="24"/>
          <w:szCs w:val="24"/>
        </w:rPr>
      </w:pPr>
    </w:p>
    <w:p w:rsidR="005527AF" w:rsidRPr="00D609A2" w:rsidRDefault="000B3FF2" w:rsidP="0027635F">
      <w:pPr>
        <w:spacing w:line="360" w:lineRule="auto"/>
        <w:jc w:val="both"/>
        <w:rPr>
          <w:rFonts w:ascii="Tahoma" w:hAnsi="Tahoma" w:cs="Tahoma"/>
          <w:sz w:val="24"/>
          <w:szCs w:val="24"/>
          <w:lang w:val="en-GB"/>
        </w:rPr>
      </w:pPr>
      <w:r w:rsidRPr="00D609A2">
        <w:rPr>
          <w:rFonts w:ascii="Tahoma" w:hAnsi="Tahoma" w:cs="Tahoma"/>
          <w:sz w:val="24"/>
          <w:szCs w:val="24"/>
        </w:rPr>
        <w:t>3.2</w:t>
      </w:r>
      <w:r w:rsidRPr="00D609A2">
        <w:rPr>
          <w:rFonts w:ascii="Tahoma" w:hAnsi="Tahoma" w:cs="Tahoma"/>
          <w:sz w:val="24"/>
          <w:szCs w:val="24"/>
        </w:rPr>
        <w:tab/>
      </w:r>
      <w:r w:rsidR="005527AF" w:rsidRPr="00D609A2">
        <w:rPr>
          <w:rFonts w:ascii="Tahoma" w:hAnsi="Tahoma" w:cs="Tahoma"/>
          <w:sz w:val="24"/>
          <w:szCs w:val="24"/>
        </w:rPr>
        <w:t>COUNSEL</w:t>
      </w:r>
    </w:p>
    <w:p w:rsidR="005527AF" w:rsidRPr="00D609A2" w:rsidRDefault="005527AF" w:rsidP="0027635F">
      <w:pPr>
        <w:spacing w:line="360" w:lineRule="auto"/>
        <w:jc w:val="both"/>
        <w:rPr>
          <w:rFonts w:ascii="Tahoma" w:hAnsi="Tahoma" w:cs="Tahoma"/>
          <w:sz w:val="24"/>
          <w:szCs w:val="24"/>
          <w:lang w:val="en-GB"/>
        </w:rPr>
      </w:pPr>
    </w:p>
    <w:p w:rsidR="0006316F" w:rsidRPr="00D609A2" w:rsidRDefault="0006316F" w:rsidP="0027635F">
      <w:pPr>
        <w:spacing w:line="360" w:lineRule="auto"/>
        <w:jc w:val="both"/>
        <w:rPr>
          <w:rFonts w:ascii="Tahoma" w:hAnsi="Tahoma" w:cs="Tahoma"/>
          <w:sz w:val="24"/>
          <w:szCs w:val="24"/>
          <w:lang w:val="en-GB"/>
        </w:rPr>
      </w:pPr>
      <w:r w:rsidRPr="00D609A2">
        <w:rPr>
          <w:rFonts w:ascii="Tahoma" w:hAnsi="Tahoma" w:cs="Tahoma"/>
          <w:sz w:val="24"/>
          <w:szCs w:val="24"/>
          <w:lang w:val="en-GB"/>
        </w:rPr>
        <w:t>Where a legal aid direction has been given in respect of counsel, fees will be paid on the following terms:</w:t>
      </w:r>
    </w:p>
    <w:p w:rsidR="005053D3" w:rsidRPr="00D609A2" w:rsidRDefault="005053D3" w:rsidP="0027635F">
      <w:pPr>
        <w:pStyle w:val="BodyTextIndent"/>
        <w:tabs>
          <w:tab w:val="left" w:pos="1080"/>
        </w:tabs>
        <w:spacing w:line="360" w:lineRule="auto"/>
        <w:ind w:left="0"/>
        <w:jc w:val="both"/>
        <w:rPr>
          <w:rFonts w:ascii="Tahoma" w:hAnsi="Tahoma" w:cs="Tahoma"/>
          <w:szCs w:val="24"/>
        </w:rPr>
      </w:pPr>
    </w:p>
    <w:p w:rsidR="007F2B63" w:rsidRPr="00EE6053" w:rsidRDefault="00A95637" w:rsidP="008E7B51">
      <w:pPr>
        <w:pStyle w:val="ListParagraph"/>
        <w:numPr>
          <w:ilvl w:val="0"/>
          <w:numId w:val="35"/>
        </w:numPr>
        <w:spacing w:line="360" w:lineRule="auto"/>
        <w:rPr>
          <w:rFonts w:ascii="Tahoma" w:eastAsia="Calibri" w:hAnsi="Tahoma" w:cs="Tahoma"/>
          <w:sz w:val="24"/>
          <w:szCs w:val="24"/>
          <w:lang w:val="en-GB"/>
        </w:rPr>
      </w:pPr>
      <w:r w:rsidRPr="00EE6053">
        <w:rPr>
          <w:rFonts w:ascii="Tahoma" w:eastAsia="Calibri" w:hAnsi="Tahoma" w:cs="Tahoma"/>
          <w:sz w:val="24"/>
          <w:szCs w:val="24"/>
          <w:lang w:val="en-GB"/>
        </w:rPr>
        <w:t>Legal aid shall be paid to c</w:t>
      </w:r>
      <w:r w:rsidR="007F2B63" w:rsidRPr="00EE6053">
        <w:rPr>
          <w:rFonts w:ascii="Tahoma" w:eastAsia="Calibri" w:hAnsi="Tahoma" w:cs="Tahoma"/>
          <w:sz w:val="24"/>
          <w:szCs w:val="24"/>
          <w:lang w:val="en-GB"/>
        </w:rPr>
        <w:t>ounsel at a rate of £110 per hour</w:t>
      </w:r>
      <w:r w:rsidR="00E6550F" w:rsidRPr="00D609A2">
        <w:rPr>
          <w:rStyle w:val="FootnoteReference"/>
          <w:rFonts w:ascii="Tahoma" w:eastAsia="Calibri" w:hAnsi="Tahoma" w:cs="Tahoma"/>
          <w:sz w:val="24"/>
          <w:szCs w:val="24"/>
          <w:lang w:val="en-GB"/>
        </w:rPr>
        <w:footnoteReference w:id="3"/>
      </w:r>
      <w:r w:rsidR="007F2B63" w:rsidRPr="00EE6053">
        <w:rPr>
          <w:rFonts w:ascii="Tahoma" w:eastAsia="Calibri" w:hAnsi="Tahoma" w:cs="Tahoma"/>
          <w:sz w:val="24"/>
          <w:szCs w:val="24"/>
          <w:lang w:val="en-GB"/>
        </w:rPr>
        <w:t xml:space="preserve">. </w:t>
      </w:r>
    </w:p>
    <w:p w:rsidR="008E7B51" w:rsidRPr="00D609A2" w:rsidRDefault="008E7B51" w:rsidP="0027635F">
      <w:pPr>
        <w:pStyle w:val="ListParagraph"/>
        <w:numPr>
          <w:ilvl w:val="0"/>
          <w:numId w:val="35"/>
        </w:numPr>
        <w:spacing w:line="360" w:lineRule="auto"/>
        <w:rPr>
          <w:rFonts w:ascii="Tahoma" w:eastAsia="Calibri" w:hAnsi="Tahoma" w:cs="Tahoma"/>
          <w:sz w:val="24"/>
          <w:szCs w:val="24"/>
          <w:lang w:val="en-GB"/>
        </w:rPr>
      </w:pPr>
      <w:r>
        <w:rPr>
          <w:rFonts w:ascii="Tahoma" w:eastAsia="Calibri" w:hAnsi="Tahoma" w:cs="Tahoma"/>
          <w:sz w:val="24"/>
          <w:szCs w:val="24"/>
          <w:lang w:val="en-GB"/>
        </w:rPr>
        <w:t>Costs will be allowed up to a maximum of 8 hours.</w:t>
      </w:r>
    </w:p>
    <w:p w:rsidR="007F2B63" w:rsidRPr="00D609A2" w:rsidRDefault="007F2B63" w:rsidP="0027635F">
      <w:pPr>
        <w:spacing w:line="360" w:lineRule="auto"/>
        <w:rPr>
          <w:rFonts w:ascii="Tahoma" w:eastAsia="Calibri" w:hAnsi="Tahoma" w:cs="Tahoma"/>
          <w:sz w:val="24"/>
          <w:szCs w:val="24"/>
          <w:lang w:val="en-GB"/>
        </w:rPr>
      </w:pPr>
    </w:p>
    <w:p w:rsidR="00E6550F" w:rsidRPr="00D609A2" w:rsidRDefault="00A95637" w:rsidP="0027635F">
      <w:pPr>
        <w:pStyle w:val="ListParagraph"/>
        <w:numPr>
          <w:ilvl w:val="0"/>
          <w:numId w:val="35"/>
        </w:numPr>
        <w:spacing w:line="360" w:lineRule="auto"/>
        <w:rPr>
          <w:rFonts w:ascii="Tahoma" w:eastAsia="Calibri" w:hAnsi="Tahoma" w:cs="Tahoma"/>
          <w:sz w:val="24"/>
          <w:szCs w:val="24"/>
          <w:lang w:val="en-GB"/>
        </w:rPr>
      </w:pPr>
      <w:r w:rsidRPr="00D609A2">
        <w:rPr>
          <w:rFonts w:ascii="Tahoma" w:eastAsia="Calibri" w:hAnsi="Tahoma" w:cs="Tahoma"/>
          <w:sz w:val="24"/>
          <w:szCs w:val="24"/>
          <w:lang w:val="en-GB"/>
        </w:rPr>
        <w:t xml:space="preserve">All work completed by counsel should be detailed in a report which </w:t>
      </w:r>
      <w:r w:rsidR="008E7B51">
        <w:rPr>
          <w:rFonts w:ascii="Tahoma" w:eastAsia="Calibri" w:hAnsi="Tahoma" w:cs="Tahoma"/>
          <w:sz w:val="24"/>
          <w:szCs w:val="24"/>
          <w:lang w:val="en-GB"/>
        </w:rPr>
        <w:t>should</w:t>
      </w:r>
      <w:r w:rsidR="008E7B51" w:rsidRPr="00D609A2">
        <w:rPr>
          <w:rFonts w:ascii="Tahoma" w:eastAsia="Calibri" w:hAnsi="Tahoma" w:cs="Tahoma"/>
          <w:sz w:val="24"/>
          <w:szCs w:val="24"/>
          <w:lang w:val="en-GB"/>
        </w:rPr>
        <w:t xml:space="preserve"> </w:t>
      </w:r>
      <w:r w:rsidR="00E6550F" w:rsidRPr="00D609A2">
        <w:rPr>
          <w:rFonts w:ascii="Tahoma" w:eastAsia="Calibri" w:hAnsi="Tahoma" w:cs="Tahoma"/>
          <w:sz w:val="24"/>
          <w:szCs w:val="24"/>
          <w:lang w:val="en-GB"/>
        </w:rPr>
        <w:t>itemise</w:t>
      </w:r>
      <w:r w:rsidR="008E7B51">
        <w:rPr>
          <w:rFonts w:ascii="Tahoma" w:eastAsia="Calibri" w:hAnsi="Tahoma" w:cs="Tahoma"/>
          <w:sz w:val="24"/>
          <w:szCs w:val="24"/>
          <w:lang w:val="en-GB"/>
        </w:rPr>
        <w:t xml:space="preserve"> the nature of</w:t>
      </w:r>
      <w:r w:rsidRPr="00D609A2">
        <w:rPr>
          <w:rFonts w:ascii="Tahoma" w:eastAsia="Calibri" w:hAnsi="Tahoma" w:cs="Tahoma"/>
          <w:sz w:val="24"/>
          <w:szCs w:val="24"/>
          <w:lang w:val="en-GB"/>
        </w:rPr>
        <w:t xml:space="preserve"> all work </w:t>
      </w:r>
      <w:r w:rsidR="002310CD">
        <w:rPr>
          <w:rFonts w:ascii="Tahoma" w:eastAsia="Calibri" w:hAnsi="Tahoma" w:cs="Tahoma"/>
          <w:sz w:val="24"/>
          <w:szCs w:val="24"/>
          <w:lang w:val="en-GB"/>
        </w:rPr>
        <w:t>completed</w:t>
      </w:r>
      <w:r w:rsidRPr="00D609A2">
        <w:rPr>
          <w:rFonts w:ascii="Tahoma" w:eastAsia="Calibri" w:hAnsi="Tahoma" w:cs="Tahoma"/>
          <w:sz w:val="24"/>
          <w:szCs w:val="24"/>
          <w:lang w:val="en-GB"/>
        </w:rPr>
        <w:t xml:space="preserve"> and time spent thereon.</w:t>
      </w:r>
      <w:r w:rsidR="00E6550F" w:rsidRPr="00D609A2">
        <w:rPr>
          <w:rFonts w:ascii="Tahoma" w:eastAsia="Calibri" w:hAnsi="Tahoma" w:cs="Tahoma"/>
          <w:sz w:val="24"/>
          <w:szCs w:val="24"/>
          <w:lang w:val="en-GB"/>
        </w:rPr>
        <w:t xml:space="preserve"> </w:t>
      </w:r>
    </w:p>
    <w:p w:rsidR="00E6550F" w:rsidRPr="00D609A2" w:rsidRDefault="00E6550F" w:rsidP="0027635F">
      <w:pPr>
        <w:pStyle w:val="ListParagraph"/>
        <w:spacing w:line="360" w:lineRule="auto"/>
        <w:rPr>
          <w:rFonts w:ascii="Tahoma" w:eastAsia="Calibri" w:hAnsi="Tahoma" w:cs="Tahoma"/>
          <w:sz w:val="24"/>
          <w:szCs w:val="24"/>
          <w:lang w:val="en-GB"/>
        </w:rPr>
      </w:pPr>
    </w:p>
    <w:p w:rsidR="007F2B63" w:rsidRPr="00EE6053" w:rsidRDefault="002310CD" w:rsidP="0027635F">
      <w:pPr>
        <w:pStyle w:val="ListParagraph"/>
        <w:numPr>
          <w:ilvl w:val="0"/>
          <w:numId w:val="35"/>
        </w:numPr>
        <w:spacing w:line="360" w:lineRule="auto"/>
        <w:rPr>
          <w:rFonts w:ascii="Tahoma" w:eastAsia="Calibri" w:hAnsi="Tahoma" w:cs="Tahoma"/>
          <w:sz w:val="24"/>
          <w:szCs w:val="24"/>
          <w:lang w:val="en-GB"/>
        </w:rPr>
      </w:pPr>
      <w:r>
        <w:rPr>
          <w:rFonts w:ascii="Tahoma" w:hAnsi="Tahoma" w:cs="Tahoma"/>
          <w:sz w:val="24"/>
          <w:szCs w:val="24"/>
          <w:lang w:val="en-GB"/>
        </w:rPr>
        <w:t xml:space="preserve">Extension of costs for professional work (which will be at the rates set out above) will be granted in advance only where the Commissioners are satisfied that work in excess of 8 hours is necessitated by the particular characteristics of the application. </w:t>
      </w:r>
      <w:r>
        <w:rPr>
          <w:rFonts w:ascii="Tahoma" w:hAnsi="Tahoma" w:cs="Tahoma"/>
          <w:b/>
          <w:sz w:val="24"/>
          <w:szCs w:val="24"/>
          <w:lang w:val="en-GB"/>
        </w:rPr>
        <w:t>Any such extensions of costs will only be considered where an application has been made in writing and approved by the Commissioners in advance of the work being undertaken.</w:t>
      </w:r>
      <w:r>
        <w:rPr>
          <w:rFonts w:ascii="Tahoma" w:hAnsi="Tahoma" w:cs="Tahoma"/>
          <w:sz w:val="24"/>
          <w:szCs w:val="24"/>
          <w:lang w:val="en-GB"/>
        </w:rPr>
        <w:t xml:space="preserve"> </w:t>
      </w:r>
    </w:p>
    <w:sectPr w:rsidR="007F2B63" w:rsidRPr="00EE6053" w:rsidSect="009C6D7A">
      <w:headerReference w:type="even" r:id="rId8"/>
      <w:headerReference w:type="default" r:id="rId9"/>
      <w:footerReference w:type="even" r:id="rId10"/>
      <w:footerReference w:type="default" r:id="rId11"/>
      <w:headerReference w:type="first" r:id="rId12"/>
      <w:footerReference w:type="first" r:id="rId13"/>
      <w:pgSz w:w="11909" w:h="16834" w:code="9"/>
      <w:pgMar w:top="108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339" w:rsidRDefault="00D60339">
      <w:r>
        <w:separator/>
      </w:r>
    </w:p>
  </w:endnote>
  <w:endnote w:type="continuationSeparator" w:id="0">
    <w:p w:rsidR="00D60339" w:rsidRDefault="00D6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408" w:rsidRDefault="008734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7AF" w:rsidRDefault="00873408">
    <w:pPr>
      <w:pStyle w:val="Footer"/>
    </w:pPr>
    <w:r>
      <w:t>Document Number:  2840708</w:t>
    </w:r>
    <w:r w:rsidR="008F4403">
      <w:tab/>
    </w:r>
    <w:r w:rsidR="008F4403">
      <w:tab/>
      <w:t xml:space="preserve">Revised </w:t>
    </w:r>
    <w:r w:rsidR="00EE6053">
      <w:t xml:space="preserve">1 July </w:t>
    </w:r>
    <w:r w:rsidR="008903F6">
      <w:t>201</w:t>
    </w:r>
    <w:r w:rsidR="00EE6053">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408" w:rsidRDefault="00873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339" w:rsidRDefault="00D60339">
      <w:r>
        <w:separator/>
      </w:r>
    </w:p>
  </w:footnote>
  <w:footnote w:type="continuationSeparator" w:id="0">
    <w:p w:rsidR="00D60339" w:rsidRDefault="00D60339">
      <w:r>
        <w:continuationSeparator/>
      </w:r>
    </w:p>
  </w:footnote>
  <w:footnote w:id="1">
    <w:p w:rsidR="00A72E5F" w:rsidRDefault="00A72E5F">
      <w:pPr>
        <w:pStyle w:val="FootnoteText"/>
        <w:rPr>
          <w:lang w:val="en-GB"/>
        </w:rPr>
      </w:pPr>
      <w:r>
        <w:rPr>
          <w:rStyle w:val="FootnoteReference"/>
        </w:rPr>
        <w:footnoteRef/>
      </w:r>
      <w:r>
        <w:t xml:space="preserve"> </w:t>
      </w:r>
      <w:r>
        <w:rPr>
          <w:lang w:val="en-GB"/>
        </w:rPr>
        <w:t>The Northern Ireland (Sentences) Act 1998, Schedule 2, paragraph 9 provides:</w:t>
      </w:r>
    </w:p>
    <w:p w:rsidR="00A72E5F" w:rsidRPr="00973A94" w:rsidRDefault="00A72E5F" w:rsidP="00973A94">
      <w:pPr>
        <w:pStyle w:val="FootnoteText"/>
        <w:numPr>
          <w:ilvl w:val="0"/>
          <w:numId w:val="23"/>
        </w:numPr>
        <w:rPr>
          <w:lang w:val="en-GB"/>
        </w:rPr>
      </w:pPr>
      <w:r w:rsidRPr="00973A94">
        <w:rPr>
          <w:lang w:val="en-GB"/>
        </w:rPr>
        <w:t>The Rules may allow Commissioners to award a prisoner money for legal advice or representation.</w:t>
      </w:r>
    </w:p>
    <w:p w:rsidR="00A72E5F" w:rsidRDefault="00A72E5F" w:rsidP="008D1FC3">
      <w:pPr>
        <w:pStyle w:val="FootnoteText"/>
        <w:numPr>
          <w:ilvl w:val="0"/>
          <w:numId w:val="23"/>
        </w:numPr>
        <w:rPr>
          <w:lang w:val="en-GB"/>
        </w:rPr>
      </w:pPr>
      <w:r>
        <w:rPr>
          <w:lang w:val="en-GB"/>
        </w:rPr>
        <w:t>The Secretary of State shall pay any sums which the Commissioners award</w:t>
      </w:r>
      <w:r w:rsidR="00CA7386">
        <w:rPr>
          <w:lang w:val="en-GB"/>
        </w:rPr>
        <w:t>.</w:t>
      </w:r>
    </w:p>
    <w:p w:rsidR="00CA7386" w:rsidRDefault="00CA7386" w:rsidP="008D1FC3">
      <w:pPr>
        <w:pStyle w:val="FootnoteText"/>
        <w:ind w:left="720" w:hanging="578"/>
        <w:rPr>
          <w:lang w:val="en-GB"/>
        </w:rPr>
      </w:pPr>
    </w:p>
    <w:p w:rsidR="00CA7386" w:rsidRDefault="008D1FC3" w:rsidP="008D1FC3">
      <w:pPr>
        <w:pStyle w:val="FootnoteText"/>
        <w:ind w:left="720" w:hanging="578"/>
        <w:rPr>
          <w:lang w:val="en-GB"/>
        </w:rPr>
      </w:pPr>
      <w:r>
        <w:rPr>
          <w:lang w:val="en-GB"/>
        </w:rPr>
        <w:t xml:space="preserve">The </w:t>
      </w:r>
      <w:r w:rsidR="00CA7386">
        <w:rPr>
          <w:lang w:val="en-GB"/>
        </w:rPr>
        <w:t xml:space="preserve">Northern Ireland (Sentences) Act 1998 Sentence Review Commissioners </w:t>
      </w:r>
      <w:r>
        <w:rPr>
          <w:lang w:val="en-GB"/>
        </w:rPr>
        <w:t>Rules</w:t>
      </w:r>
      <w:r w:rsidR="00CA7386">
        <w:rPr>
          <w:lang w:val="en-GB"/>
        </w:rPr>
        <w:t xml:space="preserve"> 1998 provide,</w:t>
      </w:r>
    </w:p>
    <w:p w:rsidR="00CA7386" w:rsidRDefault="00CA7386" w:rsidP="00CA7386">
      <w:pPr>
        <w:pStyle w:val="FootnoteText"/>
        <w:ind w:left="720" w:hanging="360"/>
        <w:rPr>
          <w:lang w:val="en-GB"/>
        </w:rPr>
      </w:pPr>
      <w:r>
        <w:rPr>
          <w:lang w:val="en-GB"/>
        </w:rPr>
        <w:t>Rule 24 (3)</w:t>
      </w:r>
      <w:r w:rsidR="008D1FC3">
        <w:rPr>
          <w:lang w:val="en-GB"/>
        </w:rPr>
        <w:t xml:space="preserve"> The Commissioners have the power to give legal aid directions and when doing so they shall specify the extent to which and the terms and conditions on which money is being made available thereby.</w:t>
      </w:r>
      <w:r>
        <w:rPr>
          <w:lang w:val="en-GB"/>
        </w:rPr>
        <w:t xml:space="preserve"> </w:t>
      </w:r>
    </w:p>
    <w:p w:rsidR="008D1FC3" w:rsidRPr="00A72E5F" w:rsidRDefault="00CA7386" w:rsidP="00CA7386">
      <w:pPr>
        <w:pStyle w:val="FootnoteText"/>
        <w:ind w:left="720" w:hanging="360"/>
        <w:rPr>
          <w:lang w:val="en-GB"/>
        </w:rPr>
      </w:pPr>
      <w:r>
        <w:rPr>
          <w:lang w:val="en-GB"/>
        </w:rPr>
        <w:t xml:space="preserve">  </w:t>
      </w:r>
      <w:r>
        <w:rPr>
          <w:lang w:val="en-GB"/>
        </w:rPr>
        <w:tab/>
        <w:t xml:space="preserve">      (4) </w:t>
      </w:r>
      <w:r w:rsidR="008D1FC3">
        <w:rPr>
          <w:lang w:val="en-GB"/>
        </w:rPr>
        <w:t>Legal aid directi</w:t>
      </w:r>
      <w:r>
        <w:rPr>
          <w:lang w:val="en-GB"/>
        </w:rPr>
        <w:t>ons shall have effect to award money which shall be paid, in accordance with the terms of the legal aid direction, by the Secretary of State as provided by paragraph 9 (2) of Schedule 2 to the Act</w:t>
      </w:r>
    </w:p>
  </w:footnote>
  <w:footnote w:id="2">
    <w:p w:rsidR="00924A8C" w:rsidRPr="00924A8C" w:rsidRDefault="00924A8C" w:rsidP="0073569F">
      <w:pPr>
        <w:jc w:val="both"/>
        <w:rPr>
          <w:lang w:val="en-GB"/>
        </w:rPr>
      </w:pPr>
      <w:r>
        <w:rPr>
          <w:rStyle w:val="FootnoteReference"/>
        </w:rPr>
        <w:footnoteRef/>
      </w:r>
      <w:r>
        <w:t xml:space="preserve"> </w:t>
      </w:r>
      <w:r w:rsidR="0073569F" w:rsidRPr="0073569F">
        <w:t xml:space="preserve">The most recent and comprehensive judicial considerations of the issue of closed material and the duty of disclosure </w:t>
      </w:r>
      <w:r w:rsidR="00FE7A44">
        <w:t>have been in the cases of</w:t>
      </w:r>
      <w:r w:rsidR="0073569F" w:rsidRPr="0073569F">
        <w:t xml:space="preserve"> </w:t>
      </w:r>
      <w:r w:rsidR="0073569F" w:rsidRPr="0073569F">
        <w:rPr>
          <w:i/>
        </w:rPr>
        <w:t xml:space="preserve">A v UK </w:t>
      </w:r>
      <w:proofErr w:type="spellStart"/>
      <w:r w:rsidR="0073569F" w:rsidRPr="0073569F">
        <w:t>Appl</w:t>
      </w:r>
      <w:proofErr w:type="spellEnd"/>
      <w:r w:rsidR="0073569F" w:rsidRPr="0073569F">
        <w:t xml:space="preserve"> No 3455/05, 19 Feb 2009 and </w:t>
      </w:r>
      <w:r w:rsidR="0073569F" w:rsidRPr="0073569F">
        <w:rPr>
          <w:i/>
        </w:rPr>
        <w:t xml:space="preserve">Secretary of State for Home Department v AF and another </w:t>
      </w:r>
      <w:r w:rsidR="0073569F" w:rsidRPr="0073569F">
        <w:t xml:space="preserve">[2009] UKHL 28. These rulings represent the current legal position and together give clear guidance as to the approach which should be taken by the court/tribunal, in circumstances where the appointment of a Special Advocate is required, in order that any unfairness to the individual is </w:t>
      </w:r>
      <w:proofErr w:type="spellStart"/>
      <w:r w:rsidR="0073569F" w:rsidRPr="0073569F">
        <w:t>minimised</w:t>
      </w:r>
      <w:proofErr w:type="spellEnd"/>
      <w:r w:rsidR="0073569F" w:rsidRPr="0073569F">
        <w:t>.  It is clear that the Special Advocate has a dual role in representing the interests of a party that does not have security clearance: (</w:t>
      </w:r>
      <w:proofErr w:type="spellStart"/>
      <w:r w:rsidR="0073569F" w:rsidRPr="0073569F">
        <w:t>i</w:t>
      </w:r>
      <w:proofErr w:type="spellEnd"/>
      <w:r w:rsidR="0073569F" w:rsidRPr="0073569F">
        <w:t>) in</w:t>
      </w:r>
      <w:r w:rsidR="0073569F">
        <w:t xml:space="preserve"> making submissions on the disclosure of</w:t>
      </w:r>
      <w:r w:rsidR="0073569F" w:rsidRPr="0073569F">
        <w:t xml:space="preserve"> closed evidence to the defendant; and (ii) in making submissions and cross-examining witnesses in relation to the evidence that remains closed. </w:t>
      </w:r>
    </w:p>
  </w:footnote>
  <w:footnote w:id="3">
    <w:p w:rsidR="00E6550F" w:rsidRPr="00E6550F" w:rsidRDefault="00E6550F" w:rsidP="00E6550F">
      <w:pPr>
        <w:ind w:left="360"/>
        <w:rPr>
          <w:rFonts w:ascii="Bookman Old Style" w:eastAsia="Calibri" w:hAnsi="Bookman Old Style" w:cs="Tahoma"/>
          <w:lang w:val="en-GB"/>
        </w:rPr>
      </w:pPr>
      <w:r>
        <w:rPr>
          <w:rStyle w:val="FootnoteReference"/>
        </w:rPr>
        <w:footnoteRef/>
      </w:r>
      <w:r>
        <w:t xml:space="preserve"> </w:t>
      </w:r>
      <w:r w:rsidR="00F74E03">
        <w:rPr>
          <w:rFonts w:ascii="Bookman Old Style" w:eastAsia="Calibri" w:hAnsi="Bookman Old Style" w:cs="Tahoma"/>
          <w:lang w:val="en-GB"/>
        </w:rPr>
        <w:t>This rate has been set with reference to</w:t>
      </w:r>
      <w:r w:rsidRPr="00E6550F">
        <w:rPr>
          <w:rFonts w:ascii="Bookman Old Style" w:eastAsia="Calibri" w:hAnsi="Bookman Old Style" w:cs="Tahoma"/>
          <w:lang w:val="en-GB"/>
        </w:rPr>
        <w:t xml:space="preserve"> the rates for general casework currently paid by the NIO to Counsel representing the Secretary of State in proceedings before the Sentence Review Commissioners. </w:t>
      </w:r>
    </w:p>
    <w:p w:rsidR="00E6550F" w:rsidRPr="00E6550F" w:rsidRDefault="00E6550F" w:rsidP="00E6550F">
      <w:pPr>
        <w:ind w:left="360"/>
        <w:jc w:val="both"/>
        <w:rPr>
          <w:rFonts w:ascii="Bookman Old Style" w:hAnsi="Bookman Old Style"/>
          <w:sz w:val="24"/>
          <w:lang w:val="en-GB"/>
        </w:rPr>
      </w:pPr>
      <w:r>
        <w:rPr>
          <w:rFonts w:ascii="Bookman Old Style" w:hAnsi="Bookman Old Style"/>
          <w:sz w:val="24"/>
          <w:lang w:val="en-GB"/>
        </w:rPr>
        <w:t xml:space="preserve"> </w:t>
      </w:r>
    </w:p>
    <w:p w:rsidR="00E6550F" w:rsidRPr="00E6550F" w:rsidRDefault="00E6550F">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408" w:rsidRDefault="008734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7AF" w:rsidRDefault="005527AF">
    <w:pPr>
      <w:pStyle w:val="Header"/>
      <w:jc w:val="center"/>
      <w:rPr>
        <w:i/>
        <w:color w:val="C0C0C0"/>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408" w:rsidRDefault="00873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D27"/>
    <w:multiLevelType w:val="singleLevel"/>
    <w:tmpl w:val="3714591A"/>
    <w:lvl w:ilvl="0">
      <w:start w:val="6"/>
      <w:numFmt w:val="decimal"/>
      <w:lvlText w:val="%1."/>
      <w:lvlJc w:val="left"/>
      <w:pPr>
        <w:tabs>
          <w:tab w:val="num" w:pos="405"/>
        </w:tabs>
        <w:ind w:left="405" w:hanging="405"/>
      </w:pPr>
      <w:rPr>
        <w:rFonts w:hint="default"/>
      </w:rPr>
    </w:lvl>
  </w:abstractNum>
  <w:abstractNum w:abstractNumId="1" w15:restartNumberingAfterBreak="0">
    <w:nsid w:val="09292ADB"/>
    <w:multiLevelType w:val="hybridMultilevel"/>
    <w:tmpl w:val="AD0AC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76845"/>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102A6151"/>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1AB129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934B8A"/>
    <w:multiLevelType w:val="singleLevel"/>
    <w:tmpl w:val="4CDC2D48"/>
    <w:lvl w:ilvl="0">
      <w:start w:val="1"/>
      <w:numFmt w:val="lowerRoman"/>
      <w:lvlText w:val="(%1)"/>
      <w:lvlJc w:val="left"/>
      <w:pPr>
        <w:tabs>
          <w:tab w:val="num" w:pos="1440"/>
        </w:tabs>
        <w:ind w:left="1440" w:hanging="720"/>
      </w:pPr>
      <w:rPr>
        <w:rFonts w:hint="default"/>
      </w:rPr>
    </w:lvl>
  </w:abstractNum>
  <w:abstractNum w:abstractNumId="6" w15:restartNumberingAfterBreak="0">
    <w:nsid w:val="21C42794"/>
    <w:multiLevelType w:val="singleLevel"/>
    <w:tmpl w:val="3714591A"/>
    <w:lvl w:ilvl="0">
      <w:start w:val="6"/>
      <w:numFmt w:val="decimal"/>
      <w:lvlText w:val="%1."/>
      <w:lvlJc w:val="left"/>
      <w:pPr>
        <w:tabs>
          <w:tab w:val="num" w:pos="405"/>
        </w:tabs>
        <w:ind w:left="405" w:hanging="405"/>
      </w:pPr>
      <w:rPr>
        <w:rFonts w:hint="default"/>
      </w:rPr>
    </w:lvl>
  </w:abstractNum>
  <w:abstractNum w:abstractNumId="7" w15:restartNumberingAfterBreak="0">
    <w:nsid w:val="23A10AE6"/>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2AE84EDD"/>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32687664"/>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344C165D"/>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A300668"/>
    <w:multiLevelType w:val="hybridMultilevel"/>
    <w:tmpl w:val="751C0E0A"/>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CF25454"/>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15521FA"/>
    <w:multiLevelType w:val="hybridMultilevel"/>
    <w:tmpl w:val="9592A2BC"/>
    <w:lvl w:ilvl="0" w:tplc="A43ADEB0">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2557F8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969157B"/>
    <w:multiLevelType w:val="hybridMultilevel"/>
    <w:tmpl w:val="8132F3A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529D0"/>
    <w:multiLevelType w:val="singleLevel"/>
    <w:tmpl w:val="BBF41314"/>
    <w:lvl w:ilvl="0">
      <w:start w:val="1"/>
      <w:numFmt w:val="lowerLetter"/>
      <w:lvlText w:val="(%1)"/>
      <w:lvlJc w:val="left"/>
      <w:pPr>
        <w:tabs>
          <w:tab w:val="num" w:pos="720"/>
        </w:tabs>
        <w:ind w:left="720" w:hanging="360"/>
      </w:pPr>
      <w:rPr>
        <w:rFonts w:hint="default"/>
      </w:rPr>
    </w:lvl>
  </w:abstractNum>
  <w:abstractNum w:abstractNumId="17" w15:restartNumberingAfterBreak="0">
    <w:nsid w:val="4EDB6A55"/>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2A14107"/>
    <w:multiLevelType w:val="hybridMultilevel"/>
    <w:tmpl w:val="70283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427A50"/>
    <w:multiLevelType w:val="hybridMultilevel"/>
    <w:tmpl w:val="321CE1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9AD792A"/>
    <w:multiLevelType w:val="hybridMultilevel"/>
    <w:tmpl w:val="2BC22E96"/>
    <w:lvl w:ilvl="0" w:tplc="61E621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BDE229A"/>
    <w:multiLevelType w:val="hybridMultilevel"/>
    <w:tmpl w:val="39B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C070B"/>
    <w:multiLevelType w:val="hybridMultilevel"/>
    <w:tmpl w:val="F8441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973289"/>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70AE163D"/>
    <w:multiLevelType w:val="singleLevel"/>
    <w:tmpl w:val="B43CDEDA"/>
    <w:lvl w:ilvl="0">
      <w:start w:val="1"/>
      <w:numFmt w:val="decimal"/>
      <w:lvlText w:val="%1."/>
      <w:lvlJc w:val="left"/>
      <w:pPr>
        <w:tabs>
          <w:tab w:val="num" w:pos="720"/>
        </w:tabs>
        <w:ind w:left="720" w:hanging="720"/>
      </w:pPr>
      <w:rPr>
        <w:rFonts w:hint="default"/>
      </w:rPr>
    </w:lvl>
  </w:abstractNum>
  <w:abstractNum w:abstractNumId="25" w15:restartNumberingAfterBreak="0">
    <w:nsid w:val="70CB7E27"/>
    <w:multiLevelType w:val="hybridMultilevel"/>
    <w:tmpl w:val="ED72F1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E9137E"/>
    <w:multiLevelType w:val="hybridMultilevel"/>
    <w:tmpl w:val="16A632DA"/>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A2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B826E7"/>
    <w:multiLevelType w:val="hybridMultilevel"/>
    <w:tmpl w:val="7CD21E04"/>
    <w:lvl w:ilvl="0" w:tplc="61E6216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D26B7B"/>
    <w:multiLevelType w:val="singleLevel"/>
    <w:tmpl w:val="04090017"/>
    <w:lvl w:ilvl="0">
      <w:start w:val="1"/>
      <w:numFmt w:val="lowerLetter"/>
      <w:lvlText w:val="%1)"/>
      <w:lvlJc w:val="left"/>
      <w:pPr>
        <w:tabs>
          <w:tab w:val="num" w:pos="360"/>
        </w:tabs>
        <w:ind w:left="360" w:hanging="360"/>
      </w:pPr>
    </w:lvl>
  </w:abstractNum>
  <w:abstractNum w:abstractNumId="30" w15:restartNumberingAfterBreak="0">
    <w:nsid w:val="7AC94C72"/>
    <w:multiLevelType w:val="singleLevel"/>
    <w:tmpl w:val="00249C3C"/>
    <w:lvl w:ilvl="0">
      <w:start w:val="3"/>
      <w:numFmt w:val="lowerLetter"/>
      <w:lvlText w:val="%1)"/>
      <w:lvlJc w:val="left"/>
      <w:pPr>
        <w:tabs>
          <w:tab w:val="num" w:pos="1425"/>
        </w:tabs>
        <w:ind w:left="1425" w:hanging="705"/>
      </w:pPr>
      <w:rPr>
        <w:rFonts w:hint="default"/>
      </w:rPr>
    </w:lvl>
  </w:abstractNum>
  <w:abstractNum w:abstractNumId="31" w15:restartNumberingAfterBreak="0">
    <w:nsid w:val="7DDC4681"/>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7DE03E24"/>
    <w:multiLevelType w:val="hybridMultilevel"/>
    <w:tmpl w:val="7ABE5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F983143"/>
    <w:multiLevelType w:val="singleLevel"/>
    <w:tmpl w:val="08090001"/>
    <w:lvl w:ilvl="0">
      <w:start w:val="1"/>
      <w:numFmt w:val="bullet"/>
      <w:lvlText w:val=""/>
      <w:lvlJc w:val="left"/>
      <w:pPr>
        <w:ind w:left="720" w:hanging="360"/>
      </w:pPr>
      <w:rPr>
        <w:rFonts w:ascii="Symbol" w:hAnsi="Symbol" w:hint="default"/>
      </w:rPr>
    </w:lvl>
  </w:abstractNum>
  <w:num w:numId="1">
    <w:abstractNumId w:val="24"/>
  </w:num>
  <w:num w:numId="2">
    <w:abstractNumId w:val="23"/>
  </w:num>
  <w:num w:numId="3">
    <w:abstractNumId w:val="31"/>
  </w:num>
  <w:num w:numId="4">
    <w:abstractNumId w:val="27"/>
  </w:num>
  <w:num w:numId="5">
    <w:abstractNumId w:val="8"/>
  </w:num>
  <w:num w:numId="6">
    <w:abstractNumId w:val="29"/>
  </w:num>
  <w:num w:numId="7">
    <w:abstractNumId w:val="3"/>
  </w:num>
  <w:num w:numId="8">
    <w:abstractNumId w:val="10"/>
  </w:num>
  <w:num w:numId="9">
    <w:abstractNumId w:val="9"/>
  </w:num>
  <w:num w:numId="10">
    <w:abstractNumId w:val="7"/>
  </w:num>
  <w:num w:numId="11">
    <w:abstractNumId w:val="14"/>
  </w:num>
  <w:num w:numId="12">
    <w:abstractNumId w:val="4"/>
  </w:num>
  <w:num w:numId="13">
    <w:abstractNumId w:val="2"/>
  </w:num>
  <w:num w:numId="14">
    <w:abstractNumId w:val="16"/>
  </w:num>
  <w:num w:numId="15">
    <w:abstractNumId w:val="5"/>
  </w:num>
  <w:num w:numId="16">
    <w:abstractNumId w:val="12"/>
  </w:num>
  <w:num w:numId="17">
    <w:abstractNumId w:val="17"/>
  </w:num>
  <w:num w:numId="18">
    <w:abstractNumId w:val="33"/>
  </w:num>
  <w:num w:numId="19">
    <w:abstractNumId w:val="0"/>
  </w:num>
  <w:num w:numId="20">
    <w:abstractNumId w:val="33"/>
  </w:num>
  <w:num w:numId="21">
    <w:abstractNumId w:val="30"/>
  </w:num>
  <w:num w:numId="22">
    <w:abstractNumId w:val="13"/>
  </w:num>
  <w:num w:numId="23">
    <w:abstractNumId w:val="2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9"/>
  </w:num>
  <w:num w:numId="27">
    <w:abstractNumId w:val="32"/>
  </w:num>
  <w:num w:numId="28">
    <w:abstractNumId w:val="20"/>
  </w:num>
  <w:num w:numId="29">
    <w:abstractNumId w:val="1"/>
  </w:num>
  <w:num w:numId="30">
    <w:abstractNumId w:val="21"/>
  </w:num>
  <w:num w:numId="31">
    <w:abstractNumId w:val="22"/>
  </w:num>
  <w:num w:numId="32">
    <w:abstractNumId w:val="18"/>
  </w:num>
  <w:num w:numId="33">
    <w:abstractNumId w:val="15"/>
  </w:num>
  <w:num w:numId="34">
    <w:abstractNumId w:val="2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6AD0"/>
    <w:rsid w:val="0005530F"/>
    <w:rsid w:val="0006316F"/>
    <w:rsid w:val="00071ADA"/>
    <w:rsid w:val="000B3FF2"/>
    <w:rsid w:val="000D0B02"/>
    <w:rsid w:val="000F4139"/>
    <w:rsid w:val="000F6AD0"/>
    <w:rsid w:val="00204C5C"/>
    <w:rsid w:val="00213078"/>
    <w:rsid w:val="002310CD"/>
    <w:rsid w:val="002644A4"/>
    <w:rsid w:val="0027635F"/>
    <w:rsid w:val="002943BC"/>
    <w:rsid w:val="00297920"/>
    <w:rsid w:val="002A2641"/>
    <w:rsid w:val="00326D32"/>
    <w:rsid w:val="00343DD0"/>
    <w:rsid w:val="0035008D"/>
    <w:rsid w:val="00395298"/>
    <w:rsid w:val="003B2988"/>
    <w:rsid w:val="003F3A95"/>
    <w:rsid w:val="00404129"/>
    <w:rsid w:val="00425461"/>
    <w:rsid w:val="004314F3"/>
    <w:rsid w:val="00433C9A"/>
    <w:rsid w:val="0044035B"/>
    <w:rsid w:val="00453B92"/>
    <w:rsid w:val="00476211"/>
    <w:rsid w:val="00477F5C"/>
    <w:rsid w:val="004D03C3"/>
    <w:rsid w:val="00500D58"/>
    <w:rsid w:val="005053D3"/>
    <w:rsid w:val="00506DC7"/>
    <w:rsid w:val="005527AF"/>
    <w:rsid w:val="00587FAD"/>
    <w:rsid w:val="005B4D18"/>
    <w:rsid w:val="005D5E28"/>
    <w:rsid w:val="006040C1"/>
    <w:rsid w:val="0065585E"/>
    <w:rsid w:val="00655955"/>
    <w:rsid w:val="00661EC7"/>
    <w:rsid w:val="00691356"/>
    <w:rsid w:val="006B3F5D"/>
    <w:rsid w:val="006B5E2E"/>
    <w:rsid w:val="006E285D"/>
    <w:rsid w:val="0073569F"/>
    <w:rsid w:val="00780FC1"/>
    <w:rsid w:val="007D48FB"/>
    <w:rsid w:val="007F04AD"/>
    <w:rsid w:val="007F2B63"/>
    <w:rsid w:val="007F707B"/>
    <w:rsid w:val="00811F2E"/>
    <w:rsid w:val="00814936"/>
    <w:rsid w:val="00841992"/>
    <w:rsid w:val="00873408"/>
    <w:rsid w:val="008752A4"/>
    <w:rsid w:val="008836B2"/>
    <w:rsid w:val="008903F6"/>
    <w:rsid w:val="00892B1E"/>
    <w:rsid w:val="008A147B"/>
    <w:rsid w:val="008C3960"/>
    <w:rsid w:val="008C3F05"/>
    <w:rsid w:val="008D1FC3"/>
    <w:rsid w:val="008E7B51"/>
    <w:rsid w:val="008F4403"/>
    <w:rsid w:val="008F73B3"/>
    <w:rsid w:val="00924A8C"/>
    <w:rsid w:val="009609F4"/>
    <w:rsid w:val="00973A94"/>
    <w:rsid w:val="009B6AA6"/>
    <w:rsid w:val="009C6D7A"/>
    <w:rsid w:val="009D7027"/>
    <w:rsid w:val="009F1907"/>
    <w:rsid w:val="00A32040"/>
    <w:rsid w:val="00A56482"/>
    <w:rsid w:val="00A72E5F"/>
    <w:rsid w:val="00A754F2"/>
    <w:rsid w:val="00A953FC"/>
    <w:rsid w:val="00A95637"/>
    <w:rsid w:val="00AC32AC"/>
    <w:rsid w:val="00AD2B9D"/>
    <w:rsid w:val="00AE40C1"/>
    <w:rsid w:val="00AF096C"/>
    <w:rsid w:val="00B60BE8"/>
    <w:rsid w:val="00BA43B0"/>
    <w:rsid w:val="00BB102C"/>
    <w:rsid w:val="00BC5A44"/>
    <w:rsid w:val="00BE61C3"/>
    <w:rsid w:val="00BE6AB3"/>
    <w:rsid w:val="00C02D01"/>
    <w:rsid w:val="00C30A96"/>
    <w:rsid w:val="00C50C22"/>
    <w:rsid w:val="00C94CD8"/>
    <w:rsid w:val="00CA4136"/>
    <w:rsid w:val="00CA7386"/>
    <w:rsid w:val="00CB57D2"/>
    <w:rsid w:val="00CD0363"/>
    <w:rsid w:val="00CE7A6B"/>
    <w:rsid w:val="00D4054E"/>
    <w:rsid w:val="00D60339"/>
    <w:rsid w:val="00D609A2"/>
    <w:rsid w:val="00D67F06"/>
    <w:rsid w:val="00D83CF1"/>
    <w:rsid w:val="00DA18E5"/>
    <w:rsid w:val="00DB61B0"/>
    <w:rsid w:val="00DC2F5E"/>
    <w:rsid w:val="00DC3069"/>
    <w:rsid w:val="00DF49FD"/>
    <w:rsid w:val="00E02CD8"/>
    <w:rsid w:val="00E6550F"/>
    <w:rsid w:val="00E67091"/>
    <w:rsid w:val="00EB7138"/>
    <w:rsid w:val="00EE6053"/>
    <w:rsid w:val="00F121FB"/>
    <w:rsid w:val="00F6502A"/>
    <w:rsid w:val="00F74E03"/>
    <w:rsid w:val="00FB10F4"/>
    <w:rsid w:val="00FC49BA"/>
    <w:rsid w:val="00FD4804"/>
    <w:rsid w:val="00FD6CA4"/>
    <w:rsid w:val="00FE7A44"/>
    <w:rsid w:val="00FF05A6"/>
    <w:rsid w:val="00FF6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DCEC60-EF8B-411E-9C8B-E548DB41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D7A"/>
    <w:rPr>
      <w:lang w:val="en-US"/>
    </w:rPr>
  </w:style>
  <w:style w:type="paragraph" w:styleId="Heading1">
    <w:name w:val="heading 1"/>
    <w:basedOn w:val="Normal"/>
    <w:next w:val="Normal"/>
    <w:qFormat/>
    <w:rsid w:val="009C6D7A"/>
    <w:pPr>
      <w:keepNext/>
      <w:outlineLvl w:val="0"/>
    </w:pPr>
    <w:rPr>
      <w:b/>
      <w:sz w:val="24"/>
      <w:lang w:val="en-GB"/>
    </w:rPr>
  </w:style>
  <w:style w:type="paragraph" w:styleId="Heading2">
    <w:name w:val="heading 2"/>
    <w:basedOn w:val="Normal"/>
    <w:next w:val="Normal"/>
    <w:qFormat/>
    <w:rsid w:val="009C6D7A"/>
    <w:pPr>
      <w:keepNext/>
      <w:outlineLvl w:val="1"/>
    </w:pPr>
    <w:rPr>
      <w:b/>
      <w:lang w:val="en-GB"/>
    </w:rPr>
  </w:style>
  <w:style w:type="paragraph" w:styleId="Heading3">
    <w:name w:val="heading 3"/>
    <w:basedOn w:val="Normal"/>
    <w:next w:val="Normal"/>
    <w:qFormat/>
    <w:rsid w:val="009C6D7A"/>
    <w:pPr>
      <w:keepNext/>
      <w:jc w:val="center"/>
      <w:outlineLvl w:val="2"/>
    </w:pPr>
    <w:rPr>
      <w:b/>
      <w:sz w:val="28"/>
      <w:u w:val="single"/>
      <w:lang w:val="en-GB"/>
    </w:rPr>
  </w:style>
  <w:style w:type="paragraph" w:styleId="Heading4">
    <w:name w:val="heading 4"/>
    <w:basedOn w:val="Normal"/>
    <w:next w:val="Normal"/>
    <w:qFormat/>
    <w:rsid w:val="009C6D7A"/>
    <w:pPr>
      <w:keepNext/>
      <w:jc w:val="center"/>
      <w:outlineLvl w:val="3"/>
    </w:pPr>
    <w:rPr>
      <w:b/>
      <w:sz w:val="24"/>
      <w:u w:val="single"/>
      <w:lang w:val="en-GB"/>
    </w:rPr>
  </w:style>
  <w:style w:type="paragraph" w:styleId="Heading5">
    <w:name w:val="heading 5"/>
    <w:basedOn w:val="Normal"/>
    <w:next w:val="Normal"/>
    <w:qFormat/>
    <w:rsid w:val="009C6D7A"/>
    <w:pPr>
      <w:keepNext/>
      <w:outlineLvl w:val="4"/>
    </w:pPr>
    <w:rPr>
      <w:b/>
      <w:sz w:val="28"/>
      <w:lang w:val="en-GB"/>
    </w:rPr>
  </w:style>
  <w:style w:type="paragraph" w:styleId="Heading6">
    <w:name w:val="heading 6"/>
    <w:basedOn w:val="Normal"/>
    <w:next w:val="Normal"/>
    <w:qFormat/>
    <w:rsid w:val="009C6D7A"/>
    <w:pPr>
      <w:keepNext/>
      <w:outlineLvl w:val="5"/>
    </w:pPr>
    <w:rPr>
      <w:b/>
      <w:sz w:val="24"/>
      <w:u w:val="single"/>
      <w:lang w:val="en-GB"/>
    </w:rPr>
  </w:style>
  <w:style w:type="paragraph" w:styleId="Heading7">
    <w:name w:val="heading 7"/>
    <w:basedOn w:val="Normal"/>
    <w:next w:val="Normal"/>
    <w:qFormat/>
    <w:rsid w:val="009C6D7A"/>
    <w:pPr>
      <w:keepNext/>
      <w:jc w:val="center"/>
      <w:outlineLvl w:val="6"/>
    </w:pPr>
    <w:rPr>
      <w:b/>
      <w:sz w:val="18"/>
      <w:lang w:val="en-GB"/>
    </w:rPr>
  </w:style>
  <w:style w:type="paragraph" w:styleId="Heading8">
    <w:name w:val="heading 8"/>
    <w:basedOn w:val="Normal"/>
    <w:next w:val="Normal"/>
    <w:qFormat/>
    <w:rsid w:val="009C6D7A"/>
    <w:pPr>
      <w:keepNext/>
      <w:jc w:val="both"/>
      <w:outlineLvl w:val="7"/>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6D7A"/>
    <w:rPr>
      <w:b/>
      <w:sz w:val="24"/>
      <w:lang w:val="en-GB"/>
    </w:rPr>
  </w:style>
  <w:style w:type="paragraph" w:styleId="BodyText2">
    <w:name w:val="Body Text 2"/>
    <w:basedOn w:val="Normal"/>
    <w:rsid w:val="009C6D7A"/>
    <w:rPr>
      <w:b/>
      <w:sz w:val="32"/>
      <w:lang w:val="en-GB"/>
    </w:rPr>
  </w:style>
  <w:style w:type="paragraph" w:styleId="BodyText3">
    <w:name w:val="Body Text 3"/>
    <w:basedOn w:val="Normal"/>
    <w:rsid w:val="009C6D7A"/>
    <w:rPr>
      <w:b/>
      <w:sz w:val="28"/>
      <w:lang w:val="en-GB"/>
    </w:rPr>
  </w:style>
  <w:style w:type="paragraph" w:styleId="BodyTextIndent">
    <w:name w:val="Body Text Indent"/>
    <w:basedOn w:val="Normal"/>
    <w:rsid w:val="009C6D7A"/>
    <w:pPr>
      <w:ind w:left="1440"/>
    </w:pPr>
    <w:rPr>
      <w:sz w:val="24"/>
      <w:lang w:val="en-GB"/>
    </w:rPr>
  </w:style>
  <w:style w:type="paragraph" w:styleId="FootnoteText">
    <w:name w:val="footnote text"/>
    <w:basedOn w:val="Normal"/>
    <w:link w:val="FootnoteTextChar"/>
    <w:semiHidden/>
    <w:rsid w:val="009C6D7A"/>
  </w:style>
  <w:style w:type="character" w:styleId="FootnoteReference">
    <w:name w:val="footnote reference"/>
    <w:basedOn w:val="DefaultParagraphFont"/>
    <w:semiHidden/>
    <w:rsid w:val="009C6D7A"/>
    <w:rPr>
      <w:vertAlign w:val="superscript"/>
    </w:rPr>
  </w:style>
  <w:style w:type="paragraph" w:styleId="Header">
    <w:name w:val="header"/>
    <w:basedOn w:val="Normal"/>
    <w:link w:val="HeaderChar"/>
    <w:uiPriority w:val="99"/>
    <w:rsid w:val="009C6D7A"/>
    <w:pPr>
      <w:tabs>
        <w:tab w:val="center" w:pos="4153"/>
        <w:tab w:val="right" w:pos="8306"/>
      </w:tabs>
    </w:pPr>
  </w:style>
  <w:style w:type="paragraph" w:styleId="Footer">
    <w:name w:val="footer"/>
    <w:basedOn w:val="Normal"/>
    <w:rsid w:val="009C6D7A"/>
    <w:pPr>
      <w:tabs>
        <w:tab w:val="center" w:pos="4153"/>
        <w:tab w:val="right" w:pos="8306"/>
      </w:tabs>
    </w:pPr>
  </w:style>
  <w:style w:type="paragraph" w:styleId="BodyTextIndent2">
    <w:name w:val="Body Text Indent 2"/>
    <w:basedOn w:val="Normal"/>
    <w:rsid w:val="009C6D7A"/>
    <w:pPr>
      <w:ind w:left="698"/>
      <w:jc w:val="both"/>
    </w:pPr>
  </w:style>
  <w:style w:type="paragraph" w:styleId="Title">
    <w:name w:val="Title"/>
    <w:basedOn w:val="Normal"/>
    <w:qFormat/>
    <w:rsid w:val="009C6D7A"/>
    <w:pPr>
      <w:jc w:val="center"/>
    </w:pPr>
    <w:rPr>
      <w:b/>
      <w:sz w:val="28"/>
      <w:lang w:val="en-GB"/>
    </w:rPr>
  </w:style>
  <w:style w:type="paragraph" w:styleId="BalloonText">
    <w:name w:val="Balloon Text"/>
    <w:basedOn w:val="Normal"/>
    <w:link w:val="BalloonTextChar"/>
    <w:rsid w:val="00BE61C3"/>
    <w:rPr>
      <w:rFonts w:ascii="Tahoma" w:hAnsi="Tahoma" w:cs="Tahoma"/>
      <w:sz w:val="16"/>
      <w:szCs w:val="16"/>
    </w:rPr>
  </w:style>
  <w:style w:type="character" w:customStyle="1" w:styleId="BalloonTextChar">
    <w:name w:val="Balloon Text Char"/>
    <w:basedOn w:val="DefaultParagraphFont"/>
    <w:link w:val="BalloonText"/>
    <w:rsid w:val="00BE61C3"/>
    <w:rPr>
      <w:rFonts w:ascii="Tahoma" w:hAnsi="Tahoma" w:cs="Tahoma"/>
      <w:sz w:val="16"/>
      <w:szCs w:val="16"/>
      <w:lang w:val="en-US"/>
    </w:rPr>
  </w:style>
  <w:style w:type="paragraph" w:styleId="ListParagraph">
    <w:name w:val="List Paragraph"/>
    <w:basedOn w:val="Normal"/>
    <w:uiPriority w:val="99"/>
    <w:qFormat/>
    <w:rsid w:val="00814936"/>
    <w:pPr>
      <w:ind w:left="720"/>
    </w:pPr>
  </w:style>
  <w:style w:type="character" w:customStyle="1" w:styleId="HeaderChar">
    <w:name w:val="Header Char"/>
    <w:basedOn w:val="DefaultParagraphFont"/>
    <w:link w:val="Header"/>
    <w:uiPriority w:val="99"/>
    <w:rsid w:val="00433C9A"/>
    <w:rPr>
      <w:lang w:val="en-US"/>
    </w:rPr>
  </w:style>
  <w:style w:type="character" w:styleId="CommentReference">
    <w:name w:val="annotation reference"/>
    <w:basedOn w:val="DefaultParagraphFont"/>
    <w:rsid w:val="00BB102C"/>
    <w:rPr>
      <w:sz w:val="16"/>
      <w:szCs w:val="16"/>
    </w:rPr>
  </w:style>
  <w:style w:type="paragraph" w:styleId="CommentText">
    <w:name w:val="annotation text"/>
    <w:basedOn w:val="Normal"/>
    <w:link w:val="CommentTextChar"/>
    <w:rsid w:val="00BB102C"/>
  </w:style>
  <w:style w:type="character" w:customStyle="1" w:styleId="CommentTextChar">
    <w:name w:val="Comment Text Char"/>
    <w:basedOn w:val="DefaultParagraphFont"/>
    <w:link w:val="CommentText"/>
    <w:rsid w:val="00BB102C"/>
    <w:rPr>
      <w:lang w:val="en-US"/>
    </w:rPr>
  </w:style>
  <w:style w:type="paragraph" w:styleId="CommentSubject">
    <w:name w:val="annotation subject"/>
    <w:basedOn w:val="CommentText"/>
    <w:next w:val="CommentText"/>
    <w:link w:val="CommentSubjectChar"/>
    <w:rsid w:val="00BB102C"/>
    <w:rPr>
      <w:b/>
      <w:bCs/>
    </w:rPr>
  </w:style>
  <w:style w:type="character" w:customStyle="1" w:styleId="CommentSubjectChar">
    <w:name w:val="Comment Subject Char"/>
    <w:basedOn w:val="CommentTextChar"/>
    <w:link w:val="CommentSubject"/>
    <w:rsid w:val="00BB102C"/>
    <w:rPr>
      <w:b/>
      <w:bCs/>
      <w:lang w:val="en-US"/>
    </w:rPr>
  </w:style>
  <w:style w:type="character" w:customStyle="1" w:styleId="FootnoteTextChar">
    <w:name w:val="Footnote Text Char"/>
    <w:basedOn w:val="DefaultParagraphFont"/>
    <w:link w:val="FootnoteText"/>
    <w:semiHidden/>
    <w:rsid w:val="0073569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71283">
      <w:bodyDiv w:val="1"/>
      <w:marLeft w:val="0"/>
      <w:marRight w:val="0"/>
      <w:marTop w:val="0"/>
      <w:marBottom w:val="0"/>
      <w:divBdr>
        <w:top w:val="none" w:sz="0" w:space="0" w:color="auto"/>
        <w:left w:val="none" w:sz="0" w:space="0" w:color="auto"/>
        <w:bottom w:val="none" w:sz="0" w:space="0" w:color="auto"/>
        <w:right w:val="none" w:sz="0" w:space="0" w:color="auto"/>
      </w:divBdr>
    </w:div>
    <w:div w:id="88220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7D183-96D6-43BF-978A-5774DD10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SENTENCE REVIEW COMMISSIONERS</vt:lpstr>
    </vt:vector>
  </TitlesOfParts>
  <Company>NIO</Company>
  <LinksUpToDate>false</LinksUpToDate>
  <CharactersWithSpaces>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SENTENCE REVIEW COMMISSIONERS</dc:title>
  <dc:creator>weirk3</dc:creator>
  <cp:lastModifiedBy>Kerry McIlwaine</cp:lastModifiedBy>
  <cp:revision>2</cp:revision>
  <cp:lastPrinted>2015-03-31T09:27:00Z</cp:lastPrinted>
  <dcterms:created xsi:type="dcterms:W3CDTF">2017-07-25T14:23:00Z</dcterms:created>
  <dcterms:modified xsi:type="dcterms:W3CDTF">2017-07-25T14:23:00Z</dcterms:modified>
</cp:coreProperties>
</file>