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67" w:rsidRPr="00C216CF" w:rsidRDefault="00C216CF" w:rsidP="00C216CF">
      <w:pPr>
        <w:rPr>
          <w:b/>
          <w:sz w:val="24"/>
          <w:szCs w:val="24"/>
        </w:rPr>
      </w:pPr>
      <w:r w:rsidRPr="00C216CF">
        <w:rPr>
          <w:b/>
          <w:sz w:val="24"/>
          <w:szCs w:val="24"/>
        </w:rPr>
        <w:t>MINUTE OF THE PLENARY MEETING OF THE SENTENCE REVIEW COMMISSIONERS HELD ON 27 MARCH 2017</w:t>
      </w:r>
    </w:p>
    <w:p w:rsidR="00C216CF" w:rsidRDefault="00C216CF" w:rsidP="00C216CF">
      <w:pPr>
        <w:rPr>
          <w:b/>
          <w:sz w:val="24"/>
          <w:szCs w:val="24"/>
        </w:rPr>
      </w:pPr>
    </w:p>
    <w:p w:rsidR="00C7275D" w:rsidRPr="00C216CF" w:rsidRDefault="00C7275D" w:rsidP="00C216CF">
      <w:pPr>
        <w:rPr>
          <w:b/>
          <w:sz w:val="24"/>
          <w:szCs w:val="24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1901"/>
        <w:gridCol w:w="2777"/>
        <w:gridCol w:w="3510"/>
      </w:tblGrid>
      <w:tr w:rsidR="00C216CF" w:rsidRPr="00EF7609" w:rsidTr="00EB6903">
        <w:tc>
          <w:tcPr>
            <w:tcW w:w="1901" w:type="dxa"/>
            <w:shd w:val="clear" w:color="auto" w:fill="auto"/>
          </w:tcPr>
          <w:p w:rsidR="00C216CF" w:rsidRPr="00EF7609" w:rsidRDefault="00C7275D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 xml:space="preserve">       </w:t>
            </w:r>
            <w:r w:rsidR="00C216CF" w:rsidRPr="00EF7609">
              <w:rPr>
                <w:b/>
                <w:sz w:val="24"/>
                <w:szCs w:val="24"/>
              </w:rPr>
              <w:t>Present:</w:t>
            </w:r>
          </w:p>
        </w:tc>
        <w:tc>
          <w:tcPr>
            <w:tcW w:w="2777" w:type="dxa"/>
            <w:shd w:val="clear" w:color="auto" w:fill="auto"/>
          </w:tcPr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Clodach McGrory</w:t>
            </w:r>
          </w:p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Micaela Greenwood</w:t>
            </w:r>
          </w:p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Anne Grimes</w:t>
            </w:r>
          </w:p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John Jackson</w:t>
            </w:r>
          </w:p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Mark Radcliffe</w:t>
            </w:r>
          </w:p>
          <w:p w:rsidR="00EB6903" w:rsidRDefault="00C216CF" w:rsidP="00EB6903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Kerry McIlwaine</w:t>
            </w:r>
          </w:p>
          <w:p w:rsidR="00EB6903" w:rsidRDefault="00EB6903" w:rsidP="00EB6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Karen Weir</w:t>
            </w:r>
          </w:p>
          <w:p w:rsidR="00C216CF" w:rsidRPr="00EF7609" w:rsidRDefault="00EB6903" w:rsidP="00EB6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Ciara Skelly</w:t>
            </w:r>
          </w:p>
        </w:tc>
        <w:tc>
          <w:tcPr>
            <w:tcW w:w="3510" w:type="dxa"/>
            <w:shd w:val="clear" w:color="auto" w:fill="auto"/>
          </w:tcPr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Chairperson</w:t>
            </w:r>
          </w:p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Commissioner</w:t>
            </w:r>
          </w:p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Commissioner</w:t>
            </w:r>
          </w:p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Commissioner</w:t>
            </w:r>
          </w:p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Secretary to the Commissioners</w:t>
            </w:r>
          </w:p>
          <w:p w:rsidR="00EB6903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De</w:t>
            </w:r>
            <w:r w:rsidR="00EB6903">
              <w:rPr>
                <w:b/>
                <w:sz w:val="24"/>
                <w:szCs w:val="24"/>
              </w:rPr>
              <w:t>puty S</w:t>
            </w:r>
            <w:r w:rsidRPr="00EF7609">
              <w:rPr>
                <w:b/>
                <w:sz w:val="24"/>
                <w:szCs w:val="24"/>
              </w:rPr>
              <w:t xml:space="preserve">ecretary </w:t>
            </w:r>
          </w:p>
          <w:p w:rsidR="00EB6903" w:rsidRDefault="00EB6903" w:rsidP="00C21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Secretariat</w:t>
            </w:r>
          </w:p>
          <w:p w:rsidR="00C216CF" w:rsidRDefault="00EB6903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Case Manager (minutes)</w:t>
            </w:r>
          </w:p>
          <w:p w:rsidR="00EB6903" w:rsidRPr="00EF7609" w:rsidRDefault="00EB6903" w:rsidP="00C216CF">
            <w:pPr>
              <w:rPr>
                <w:b/>
                <w:sz w:val="24"/>
                <w:szCs w:val="24"/>
              </w:rPr>
            </w:pPr>
          </w:p>
        </w:tc>
      </w:tr>
      <w:tr w:rsidR="00C216CF" w:rsidRPr="00EF7609" w:rsidTr="00EB6903">
        <w:tc>
          <w:tcPr>
            <w:tcW w:w="1901" w:type="dxa"/>
            <w:shd w:val="clear" w:color="auto" w:fill="auto"/>
          </w:tcPr>
          <w:p w:rsidR="00C216CF" w:rsidRPr="00EF7609" w:rsidRDefault="00C7275D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 xml:space="preserve">       </w:t>
            </w:r>
            <w:r w:rsidR="00C216CF" w:rsidRPr="00EF7609">
              <w:rPr>
                <w:b/>
                <w:sz w:val="24"/>
                <w:szCs w:val="24"/>
              </w:rPr>
              <w:t>Apologies:</w:t>
            </w:r>
          </w:p>
        </w:tc>
        <w:tc>
          <w:tcPr>
            <w:tcW w:w="2777" w:type="dxa"/>
            <w:shd w:val="clear" w:color="auto" w:fill="auto"/>
          </w:tcPr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Timothy Thorne</w:t>
            </w:r>
          </w:p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Adrian Grounds</w:t>
            </w:r>
          </w:p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Duncan Morrow</w:t>
            </w:r>
          </w:p>
        </w:tc>
        <w:tc>
          <w:tcPr>
            <w:tcW w:w="3510" w:type="dxa"/>
            <w:shd w:val="clear" w:color="auto" w:fill="auto"/>
          </w:tcPr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Commissioner</w:t>
            </w:r>
          </w:p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Commissioner</w:t>
            </w:r>
          </w:p>
          <w:p w:rsidR="00C216CF" w:rsidRPr="00EF7609" w:rsidRDefault="00C216CF" w:rsidP="00C216CF">
            <w:pPr>
              <w:rPr>
                <w:b/>
                <w:sz w:val="24"/>
                <w:szCs w:val="24"/>
              </w:rPr>
            </w:pPr>
            <w:r w:rsidRPr="00EF7609">
              <w:rPr>
                <w:b/>
                <w:sz w:val="24"/>
                <w:szCs w:val="24"/>
              </w:rPr>
              <w:t>Commissioner</w:t>
            </w:r>
          </w:p>
        </w:tc>
      </w:tr>
    </w:tbl>
    <w:p w:rsidR="00C216CF" w:rsidRDefault="00C216CF" w:rsidP="00C216CF">
      <w:pPr>
        <w:rPr>
          <w:b/>
        </w:rPr>
      </w:pPr>
    </w:p>
    <w:p w:rsidR="00C7275D" w:rsidRDefault="00C7275D" w:rsidP="00C216CF">
      <w:pPr>
        <w:rPr>
          <w:b/>
        </w:rPr>
      </w:pPr>
    </w:p>
    <w:p w:rsidR="00C216CF" w:rsidRPr="00C7275D" w:rsidRDefault="00C216CF" w:rsidP="00C216CF">
      <w:pPr>
        <w:numPr>
          <w:ilvl w:val="0"/>
          <w:numId w:val="3"/>
        </w:numPr>
        <w:rPr>
          <w:sz w:val="24"/>
          <w:szCs w:val="24"/>
        </w:rPr>
      </w:pPr>
      <w:r w:rsidRPr="00C7275D">
        <w:rPr>
          <w:sz w:val="24"/>
          <w:szCs w:val="24"/>
        </w:rPr>
        <w:t>Ms McGrory welcomed everyone to the meeting and thanked them for their attendance. Apologies were received from Timothy Thorne, Adrian Grounds and Duncan Morrow.</w:t>
      </w:r>
    </w:p>
    <w:p w:rsidR="00C216CF" w:rsidRPr="00C7275D" w:rsidRDefault="00C216CF" w:rsidP="00C216CF">
      <w:pPr>
        <w:ind w:left="720"/>
        <w:rPr>
          <w:sz w:val="24"/>
          <w:szCs w:val="24"/>
        </w:rPr>
      </w:pPr>
    </w:p>
    <w:p w:rsidR="00C216CF" w:rsidRPr="00C7275D" w:rsidRDefault="00C216CF" w:rsidP="00C216CF">
      <w:pPr>
        <w:numPr>
          <w:ilvl w:val="0"/>
          <w:numId w:val="3"/>
        </w:numPr>
        <w:rPr>
          <w:sz w:val="24"/>
          <w:szCs w:val="24"/>
        </w:rPr>
      </w:pPr>
      <w:r w:rsidRPr="00C7275D">
        <w:rPr>
          <w:sz w:val="24"/>
          <w:szCs w:val="24"/>
        </w:rPr>
        <w:t>The note and minute of the previous meeting were discussed and agreed with no amendments.</w:t>
      </w:r>
    </w:p>
    <w:p w:rsidR="00C216CF" w:rsidRPr="00C7275D" w:rsidRDefault="00C216CF" w:rsidP="00C216CF">
      <w:pPr>
        <w:pStyle w:val="ListParagraph"/>
        <w:rPr>
          <w:sz w:val="24"/>
          <w:szCs w:val="24"/>
        </w:rPr>
      </w:pPr>
    </w:p>
    <w:p w:rsidR="00E50151" w:rsidRDefault="00E50151" w:rsidP="00B92E9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7275D">
        <w:rPr>
          <w:sz w:val="24"/>
          <w:szCs w:val="24"/>
        </w:rPr>
        <w:t xml:space="preserve">Ms McGrory provided an update on the </w:t>
      </w:r>
      <w:r w:rsidR="005845AF">
        <w:rPr>
          <w:sz w:val="24"/>
          <w:szCs w:val="24"/>
        </w:rPr>
        <w:t xml:space="preserve">ongoing </w:t>
      </w:r>
      <w:r w:rsidRPr="00C7275D">
        <w:rPr>
          <w:sz w:val="24"/>
          <w:szCs w:val="24"/>
        </w:rPr>
        <w:t xml:space="preserve">Judicial Review. </w:t>
      </w:r>
      <w:r w:rsidR="005845AF" w:rsidRPr="00C7275D">
        <w:rPr>
          <w:sz w:val="24"/>
          <w:szCs w:val="24"/>
        </w:rPr>
        <w:t>This case raise</w:t>
      </w:r>
      <w:r w:rsidR="005845AF">
        <w:rPr>
          <w:sz w:val="24"/>
          <w:szCs w:val="24"/>
        </w:rPr>
        <w:t xml:space="preserve">s issues in relation to the consideration of </w:t>
      </w:r>
      <w:r w:rsidR="005845AF" w:rsidRPr="00C7275D">
        <w:rPr>
          <w:sz w:val="24"/>
          <w:szCs w:val="24"/>
        </w:rPr>
        <w:t xml:space="preserve"> recall applications </w:t>
      </w:r>
      <w:r w:rsidR="005845AF">
        <w:rPr>
          <w:sz w:val="24"/>
          <w:szCs w:val="24"/>
        </w:rPr>
        <w:t xml:space="preserve">in circumstances where </w:t>
      </w:r>
      <w:r w:rsidR="005845AF" w:rsidRPr="00C7275D">
        <w:rPr>
          <w:sz w:val="24"/>
          <w:szCs w:val="24"/>
        </w:rPr>
        <w:t xml:space="preserve"> there are </w:t>
      </w:r>
      <w:r w:rsidR="005845AF">
        <w:rPr>
          <w:sz w:val="24"/>
          <w:szCs w:val="24"/>
        </w:rPr>
        <w:t xml:space="preserve">criminal </w:t>
      </w:r>
      <w:r w:rsidR="005845AF" w:rsidRPr="00C7275D">
        <w:rPr>
          <w:sz w:val="24"/>
          <w:szCs w:val="24"/>
        </w:rPr>
        <w:t>charges pending</w:t>
      </w:r>
      <w:r w:rsidR="005845AF">
        <w:rPr>
          <w:sz w:val="24"/>
          <w:szCs w:val="24"/>
        </w:rPr>
        <w:t>.</w:t>
      </w:r>
      <w:r w:rsidR="005845AF" w:rsidRPr="00C7275D" w:rsidDel="005845AF">
        <w:rPr>
          <w:sz w:val="24"/>
          <w:szCs w:val="24"/>
        </w:rPr>
        <w:t xml:space="preserve"> </w:t>
      </w:r>
    </w:p>
    <w:p w:rsidR="00B92E94" w:rsidRPr="00C7275D" w:rsidRDefault="00B92E94" w:rsidP="00E50151">
      <w:pPr>
        <w:pStyle w:val="ListParagraph"/>
        <w:rPr>
          <w:sz w:val="24"/>
          <w:szCs w:val="24"/>
        </w:rPr>
      </w:pPr>
    </w:p>
    <w:p w:rsidR="00E50151" w:rsidRPr="00C7275D" w:rsidRDefault="00E50151" w:rsidP="00B92E94">
      <w:pPr>
        <w:numPr>
          <w:ilvl w:val="0"/>
          <w:numId w:val="3"/>
        </w:numPr>
        <w:rPr>
          <w:sz w:val="24"/>
          <w:szCs w:val="24"/>
        </w:rPr>
      </w:pPr>
      <w:r w:rsidRPr="00C7275D">
        <w:rPr>
          <w:sz w:val="24"/>
          <w:szCs w:val="24"/>
        </w:rPr>
        <w:t xml:space="preserve">Ms McGrory led a discussion on the revised legal aid guidance and </w:t>
      </w:r>
      <w:r w:rsidR="005845AF">
        <w:rPr>
          <w:sz w:val="24"/>
          <w:szCs w:val="24"/>
        </w:rPr>
        <w:t xml:space="preserve">again </w:t>
      </w:r>
      <w:r w:rsidRPr="00C7275D">
        <w:rPr>
          <w:sz w:val="24"/>
          <w:szCs w:val="24"/>
        </w:rPr>
        <w:t xml:space="preserve">raised concern that </w:t>
      </w:r>
      <w:r w:rsidR="0070596B">
        <w:rPr>
          <w:sz w:val="24"/>
          <w:szCs w:val="24"/>
        </w:rPr>
        <w:t xml:space="preserve">it did not seem appropriate that </w:t>
      </w:r>
      <w:r w:rsidRPr="00C7275D">
        <w:rPr>
          <w:sz w:val="24"/>
          <w:szCs w:val="24"/>
        </w:rPr>
        <w:t xml:space="preserve">SRC should </w:t>
      </w:r>
      <w:r w:rsidR="005845AF">
        <w:rPr>
          <w:sz w:val="24"/>
          <w:szCs w:val="24"/>
        </w:rPr>
        <w:t xml:space="preserve">have </w:t>
      </w:r>
      <w:r w:rsidRPr="00C7275D">
        <w:rPr>
          <w:sz w:val="24"/>
          <w:szCs w:val="24"/>
        </w:rPr>
        <w:t xml:space="preserve"> responsib</w:t>
      </w:r>
      <w:r w:rsidR="005845AF">
        <w:rPr>
          <w:sz w:val="24"/>
          <w:szCs w:val="24"/>
        </w:rPr>
        <w:t>ility</w:t>
      </w:r>
      <w:r w:rsidRPr="00C7275D">
        <w:rPr>
          <w:sz w:val="24"/>
          <w:szCs w:val="24"/>
        </w:rPr>
        <w:t xml:space="preserve"> for granting legal aid to prisoners</w:t>
      </w:r>
      <w:r w:rsidR="0070596B">
        <w:rPr>
          <w:sz w:val="24"/>
          <w:szCs w:val="24"/>
        </w:rPr>
        <w:t>’</w:t>
      </w:r>
      <w:r w:rsidRPr="00C7275D">
        <w:rPr>
          <w:sz w:val="24"/>
          <w:szCs w:val="24"/>
        </w:rPr>
        <w:t xml:space="preserve"> representatives.</w:t>
      </w:r>
    </w:p>
    <w:p w:rsidR="00E50151" w:rsidRPr="00C7275D" w:rsidRDefault="00E50151" w:rsidP="00E50151">
      <w:pPr>
        <w:pStyle w:val="ListParagraph"/>
        <w:rPr>
          <w:sz w:val="24"/>
          <w:szCs w:val="24"/>
        </w:rPr>
      </w:pPr>
    </w:p>
    <w:p w:rsidR="00E50151" w:rsidRPr="00C7275D" w:rsidRDefault="006D5568" w:rsidP="00B92E94">
      <w:pPr>
        <w:numPr>
          <w:ilvl w:val="0"/>
          <w:numId w:val="3"/>
        </w:numPr>
        <w:rPr>
          <w:sz w:val="24"/>
          <w:szCs w:val="24"/>
        </w:rPr>
      </w:pPr>
      <w:r w:rsidRPr="00C7275D">
        <w:rPr>
          <w:sz w:val="24"/>
          <w:szCs w:val="24"/>
        </w:rPr>
        <w:t>The position on the current SRC cases were discussed.</w:t>
      </w:r>
    </w:p>
    <w:p w:rsidR="006D5568" w:rsidRPr="00C7275D" w:rsidRDefault="006D5568" w:rsidP="006D5568">
      <w:pPr>
        <w:pStyle w:val="ListParagraph"/>
        <w:rPr>
          <w:sz w:val="24"/>
          <w:szCs w:val="24"/>
        </w:rPr>
      </w:pPr>
    </w:p>
    <w:p w:rsidR="006D5568" w:rsidRPr="00C7275D" w:rsidRDefault="006D5568" w:rsidP="00B92E94">
      <w:pPr>
        <w:numPr>
          <w:ilvl w:val="0"/>
          <w:numId w:val="3"/>
        </w:numPr>
        <w:rPr>
          <w:sz w:val="24"/>
          <w:szCs w:val="24"/>
        </w:rPr>
      </w:pPr>
      <w:r w:rsidRPr="00C7275D">
        <w:rPr>
          <w:sz w:val="24"/>
          <w:szCs w:val="24"/>
        </w:rPr>
        <w:t xml:space="preserve">Ms Greenwood led a discussion on the importance of new Commissioners taking on the panel chair or single Commissioner roles to increase their experience and knowledge base. Ms McGrory advised that all Commissioners </w:t>
      </w:r>
      <w:r w:rsidR="00414028">
        <w:rPr>
          <w:sz w:val="24"/>
          <w:szCs w:val="24"/>
        </w:rPr>
        <w:t>could be afforded</w:t>
      </w:r>
      <w:r w:rsidR="00414028" w:rsidRPr="00C7275D">
        <w:rPr>
          <w:sz w:val="24"/>
          <w:szCs w:val="24"/>
        </w:rPr>
        <w:t xml:space="preserve"> </w:t>
      </w:r>
      <w:r w:rsidR="004A0BDC" w:rsidRPr="00C7275D">
        <w:rPr>
          <w:sz w:val="24"/>
          <w:szCs w:val="24"/>
        </w:rPr>
        <w:t>this</w:t>
      </w:r>
      <w:r w:rsidRPr="00C7275D">
        <w:rPr>
          <w:sz w:val="24"/>
          <w:szCs w:val="24"/>
        </w:rPr>
        <w:t xml:space="preserve"> opportunity.</w:t>
      </w:r>
    </w:p>
    <w:p w:rsidR="006D5568" w:rsidRPr="00C7275D" w:rsidRDefault="006D5568" w:rsidP="006D5568">
      <w:pPr>
        <w:pStyle w:val="ListParagraph"/>
        <w:rPr>
          <w:sz w:val="24"/>
          <w:szCs w:val="24"/>
        </w:rPr>
      </w:pPr>
    </w:p>
    <w:p w:rsidR="006D5568" w:rsidRPr="005845AF" w:rsidRDefault="006D5568" w:rsidP="00B92E94">
      <w:pPr>
        <w:numPr>
          <w:ilvl w:val="0"/>
          <w:numId w:val="3"/>
        </w:numPr>
        <w:rPr>
          <w:sz w:val="24"/>
          <w:szCs w:val="24"/>
        </w:rPr>
      </w:pPr>
      <w:r w:rsidRPr="00C7275D">
        <w:rPr>
          <w:sz w:val="24"/>
          <w:szCs w:val="24"/>
        </w:rPr>
        <w:t>The Commissioners annual appraisal process was discussed</w:t>
      </w:r>
      <w:r w:rsidR="005845AF">
        <w:rPr>
          <w:sz w:val="24"/>
          <w:szCs w:val="24"/>
        </w:rPr>
        <w:t xml:space="preserve"> and training issues were identified</w:t>
      </w:r>
      <w:r w:rsidR="005845AF" w:rsidRPr="00C7275D">
        <w:rPr>
          <w:sz w:val="24"/>
          <w:szCs w:val="24"/>
        </w:rPr>
        <w:t>.</w:t>
      </w:r>
    </w:p>
    <w:p w:rsidR="006D5568" w:rsidRPr="00C7275D" w:rsidRDefault="006D5568" w:rsidP="006D5568">
      <w:pPr>
        <w:pStyle w:val="ListParagraph"/>
        <w:rPr>
          <w:sz w:val="24"/>
          <w:szCs w:val="24"/>
        </w:rPr>
      </w:pPr>
    </w:p>
    <w:p w:rsidR="006D5568" w:rsidRDefault="006D5568" w:rsidP="00B92E94">
      <w:pPr>
        <w:numPr>
          <w:ilvl w:val="0"/>
          <w:numId w:val="3"/>
        </w:numPr>
        <w:rPr>
          <w:sz w:val="24"/>
          <w:szCs w:val="24"/>
        </w:rPr>
      </w:pPr>
      <w:r w:rsidRPr="00C7275D">
        <w:rPr>
          <w:sz w:val="24"/>
          <w:szCs w:val="24"/>
        </w:rPr>
        <w:t xml:space="preserve">Mrs McIlwaine </w:t>
      </w:r>
      <w:r w:rsidR="005845AF">
        <w:rPr>
          <w:sz w:val="24"/>
          <w:szCs w:val="24"/>
        </w:rPr>
        <w:t>updated the Commissioners on</w:t>
      </w:r>
      <w:r w:rsidR="005845AF" w:rsidRPr="00C7275D">
        <w:rPr>
          <w:sz w:val="24"/>
          <w:szCs w:val="24"/>
        </w:rPr>
        <w:t xml:space="preserve"> the</w:t>
      </w:r>
      <w:r w:rsidR="005845AF">
        <w:rPr>
          <w:sz w:val="24"/>
          <w:szCs w:val="24"/>
        </w:rPr>
        <w:t xml:space="preserve"> development of a</w:t>
      </w:r>
      <w:r w:rsidR="005845AF" w:rsidRPr="00C7275D">
        <w:rPr>
          <w:sz w:val="24"/>
          <w:szCs w:val="24"/>
        </w:rPr>
        <w:t xml:space="preserve"> </w:t>
      </w:r>
      <w:r w:rsidR="005845AF">
        <w:rPr>
          <w:sz w:val="24"/>
          <w:szCs w:val="24"/>
        </w:rPr>
        <w:t xml:space="preserve">protocol between the SRC and the NIO in relation to cases involving </w:t>
      </w:r>
      <w:r w:rsidR="005845AF" w:rsidRPr="00C7275D">
        <w:rPr>
          <w:sz w:val="24"/>
          <w:szCs w:val="24"/>
        </w:rPr>
        <w:t xml:space="preserve">Damaging Information and </w:t>
      </w:r>
      <w:r w:rsidR="005845AF">
        <w:rPr>
          <w:sz w:val="24"/>
          <w:szCs w:val="24"/>
        </w:rPr>
        <w:t>related</w:t>
      </w:r>
      <w:r w:rsidR="005845AF" w:rsidRPr="00C7275D">
        <w:rPr>
          <w:sz w:val="24"/>
          <w:szCs w:val="24"/>
        </w:rPr>
        <w:t xml:space="preserve"> meeting</w:t>
      </w:r>
      <w:r w:rsidR="005845AF">
        <w:rPr>
          <w:sz w:val="24"/>
          <w:szCs w:val="24"/>
        </w:rPr>
        <w:t>s</w:t>
      </w:r>
      <w:r w:rsidR="005845AF" w:rsidRPr="00C7275D">
        <w:rPr>
          <w:sz w:val="24"/>
          <w:szCs w:val="24"/>
        </w:rPr>
        <w:t xml:space="preserve"> with NIO. </w:t>
      </w:r>
    </w:p>
    <w:p w:rsidR="00B92E94" w:rsidRPr="005845AF" w:rsidRDefault="00B92E94" w:rsidP="00B92E94">
      <w:pPr>
        <w:rPr>
          <w:sz w:val="24"/>
          <w:szCs w:val="24"/>
        </w:rPr>
      </w:pPr>
    </w:p>
    <w:p w:rsidR="006D5568" w:rsidRPr="005845AF" w:rsidRDefault="005845AF" w:rsidP="00B92E9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 was agreed that t</w:t>
      </w:r>
      <w:r w:rsidR="006D5568" w:rsidRPr="005845AF">
        <w:rPr>
          <w:sz w:val="24"/>
          <w:szCs w:val="24"/>
        </w:rPr>
        <w:t xml:space="preserve">he next Plenary will be held in </w:t>
      </w:r>
      <w:r w:rsidR="00EB6903" w:rsidRPr="005845AF">
        <w:rPr>
          <w:sz w:val="24"/>
          <w:szCs w:val="24"/>
        </w:rPr>
        <w:t>autumn</w:t>
      </w:r>
      <w:r w:rsidR="006D5568" w:rsidRPr="005845AF">
        <w:rPr>
          <w:sz w:val="24"/>
          <w:szCs w:val="24"/>
        </w:rPr>
        <w:t xml:space="preserve"> 2017</w:t>
      </w:r>
      <w:r>
        <w:rPr>
          <w:sz w:val="24"/>
          <w:szCs w:val="24"/>
        </w:rPr>
        <w:t>, date to be confirmed</w:t>
      </w:r>
      <w:r w:rsidR="006D5568" w:rsidRPr="005845AF">
        <w:rPr>
          <w:sz w:val="24"/>
          <w:szCs w:val="24"/>
        </w:rPr>
        <w:t>.</w:t>
      </w:r>
    </w:p>
    <w:sectPr w:rsidR="006D5568" w:rsidRPr="005845AF" w:rsidSect="0064065B">
      <w:pgSz w:w="11906" w:h="16838" w:code="9"/>
      <w:pgMar w:top="1680" w:right="1416" w:bottom="1276" w:left="1276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89" w:rsidRDefault="004E2F89">
      <w:r>
        <w:separator/>
      </w:r>
    </w:p>
  </w:endnote>
  <w:endnote w:type="continuationSeparator" w:id="0">
    <w:p w:rsidR="004E2F89" w:rsidRDefault="004E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89" w:rsidRDefault="004E2F89">
      <w:r>
        <w:separator/>
      </w:r>
    </w:p>
  </w:footnote>
  <w:footnote w:type="continuationSeparator" w:id="0">
    <w:p w:rsidR="004E2F89" w:rsidRDefault="004E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5497"/>
    <w:multiLevelType w:val="hybridMultilevel"/>
    <w:tmpl w:val="971814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B6B6E"/>
    <w:multiLevelType w:val="hybridMultilevel"/>
    <w:tmpl w:val="1B4EE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267B"/>
    <w:multiLevelType w:val="hybridMultilevel"/>
    <w:tmpl w:val="AD88D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F3A85"/>
    <w:multiLevelType w:val="hybridMultilevel"/>
    <w:tmpl w:val="0BF4E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US" w:vendorID="8" w:dllVersion="513" w:checkStyle="0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67"/>
    <w:rsid w:val="00035D0A"/>
    <w:rsid w:val="0004409D"/>
    <w:rsid w:val="00080EF0"/>
    <w:rsid w:val="000C069A"/>
    <w:rsid w:val="000D642D"/>
    <w:rsid w:val="00122DCA"/>
    <w:rsid w:val="00163FD1"/>
    <w:rsid w:val="00252392"/>
    <w:rsid w:val="002D0D22"/>
    <w:rsid w:val="003A55D4"/>
    <w:rsid w:val="003F3AA0"/>
    <w:rsid w:val="0040750D"/>
    <w:rsid w:val="00414028"/>
    <w:rsid w:val="00456877"/>
    <w:rsid w:val="004A0BDC"/>
    <w:rsid w:val="004B7C19"/>
    <w:rsid w:val="004E2F89"/>
    <w:rsid w:val="004F1385"/>
    <w:rsid w:val="0052591B"/>
    <w:rsid w:val="00582AFF"/>
    <w:rsid w:val="005845AF"/>
    <w:rsid w:val="00616E0E"/>
    <w:rsid w:val="006211D7"/>
    <w:rsid w:val="0064065B"/>
    <w:rsid w:val="006D5568"/>
    <w:rsid w:val="006E7555"/>
    <w:rsid w:val="0070596B"/>
    <w:rsid w:val="00726949"/>
    <w:rsid w:val="00776830"/>
    <w:rsid w:val="00824187"/>
    <w:rsid w:val="008C352F"/>
    <w:rsid w:val="008D110E"/>
    <w:rsid w:val="00A95E8F"/>
    <w:rsid w:val="00B04702"/>
    <w:rsid w:val="00B6076D"/>
    <w:rsid w:val="00B92E94"/>
    <w:rsid w:val="00C148AB"/>
    <w:rsid w:val="00C216CF"/>
    <w:rsid w:val="00C7275D"/>
    <w:rsid w:val="00D26C91"/>
    <w:rsid w:val="00D95961"/>
    <w:rsid w:val="00E50151"/>
    <w:rsid w:val="00EB6903"/>
    <w:rsid w:val="00EF51CA"/>
    <w:rsid w:val="00EF7609"/>
    <w:rsid w:val="00F34867"/>
    <w:rsid w:val="00F44A07"/>
    <w:rsid w:val="00F5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7B0047-B73C-4E45-A529-D0F7A59B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BodyText"/>
    <w:qFormat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Heading3">
    <w:name w:val="heading 3"/>
    <w:basedOn w:val="Normal"/>
    <w:next w:val="BodyText"/>
    <w:qFormat/>
    <w:pPr>
      <w:keepNext/>
      <w:keepLines/>
      <w:spacing w:line="533" w:lineRule="auto"/>
      <w:ind w:left="840" w:right="-240"/>
      <w:outlineLvl w:val="2"/>
    </w:pPr>
    <w:rPr>
      <w:rFonts w:ascii="Arial" w:hAnsi="Arial"/>
      <w:spacing w:val="-5"/>
      <w:kern w:val="28"/>
      <w:sz w:val="18"/>
    </w:rPr>
  </w:style>
  <w:style w:type="paragraph" w:styleId="Heading4">
    <w:name w:val="heading 4"/>
    <w:basedOn w:val="Normal"/>
    <w:next w:val="BodyText"/>
    <w:qFormat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533" w:lineRule="auto"/>
      <w:ind w:left="840" w:right="-240"/>
      <w:outlineLvl w:val="4"/>
    </w:pPr>
    <w:rPr>
      <w:b/>
      <w:i/>
      <w:spacing w:val="-2"/>
      <w:kern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</w:style>
  <w:style w:type="paragraph" w:customStyle="1" w:styleId="FaxHeader">
    <w:name w:val="Fax Header"/>
    <w:basedOn w:val="Normal"/>
    <w:pPr>
      <w:spacing w:before="240" w:after="60"/>
    </w:pPr>
  </w:style>
  <w:style w:type="paragraph" w:styleId="BodyText">
    <w:name w:val="Body Text"/>
    <w:basedOn w:val="Normal"/>
    <w:pPr>
      <w:spacing w:line="533" w:lineRule="auto"/>
      <w:ind w:left="840" w:right="-120"/>
    </w:pPr>
  </w:style>
  <w:style w:type="paragraph" w:customStyle="1" w:styleId="DocumentLabel">
    <w:name w:val="Document Label"/>
    <w:next w:val="Normal"/>
    <w:pPr>
      <w:spacing w:before="100" w:after="720" w:line="600" w:lineRule="exact"/>
      <w:ind w:left="840"/>
    </w:pPr>
    <w:rPr>
      <w:spacing w:val="-34"/>
      <w:sz w:val="60"/>
      <w:lang w:val="en-US"/>
    </w:rPr>
  </w:style>
  <w:style w:type="paragraph" w:customStyle="1" w:styleId="ReturnAddress">
    <w:name w:val="Return Address"/>
    <w:basedOn w:val="Normal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customStyle="1" w:styleId="Logo">
    <w:name w:val="Logo"/>
    <w:basedOn w:val="Normal"/>
  </w:style>
  <w:style w:type="paragraph" w:customStyle="1" w:styleId="Slogan">
    <w:name w:val="Slogan"/>
    <w:basedOn w:val="Normal"/>
    <w:pPr>
      <w:framePr w:w="5170" w:h="1407" w:hRule="exact" w:hSpace="187" w:vSpace="187" w:wrap="around" w:vAnchor="page" w:hAnchor="page" w:x="966" w:y="14401" w:anchorLock="1"/>
    </w:pPr>
    <w:rPr>
      <w:rFonts w:ascii="Impact" w:hAnsi="Impact"/>
      <w:caps/>
      <w:color w:val="FFFFFF"/>
      <w:spacing w:val="20"/>
      <w:position w:val="12"/>
      <w:sz w:val="48"/>
    </w:rPr>
  </w:style>
  <w:style w:type="character" w:customStyle="1" w:styleId="Checkbox">
    <w:name w:val="Checkbox"/>
    <w:rPr>
      <w:spacing w:val="0"/>
      <w:sz w:val="22"/>
    </w:rPr>
  </w:style>
  <w:style w:type="paragraph" w:customStyle="1" w:styleId="CompanyName">
    <w:name w:val="Company Name"/>
    <w:basedOn w:val="Normal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6"/>
    </w:r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pPr>
      <w:spacing w:before="420"/>
    </w:pPr>
    <w:rPr>
      <w:b/>
    </w:rPr>
  </w:style>
  <w:style w:type="paragraph" w:styleId="Header">
    <w:name w:val="header"/>
    <w:basedOn w:val="HeaderBase"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HeadingBase">
    <w:name w:val="Heading Base"/>
    <w:basedOn w:val="Normal"/>
    <w:next w:val="BodyText"/>
    <w:pPr>
      <w:keepNext/>
      <w:keepLines/>
      <w:spacing w:line="533" w:lineRule="auto"/>
      <w:ind w:left="840" w:right="-240"/>
    </w:pPr>
    <w:rPr>
      <w:rFonts w:ascii="Arial" w:hAnsi="Arial"/>
      <w:spacing w:val="-10"/>
      <w:kern w:val="28"/>
    </w:rPr>
  </w:style>
  <w:style w:type="paragraph" w:styleId="MessageHeader">
    <w:name w:val="Message Header"/>
    <w:basedOn w:val="BodyText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st">
    <w:name w:val="Message Header Last"/>
    <w:basedOn w:val="MessageHeader"/>
    <w:next w:val="BodyText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styleId="NormalIndent">
    <w:name w:val="Normal Indent"/>
    <w:basedOn w:val="Normal"/>
    <w:pPr>
      <w:ind w:left="1440" w:right="-240"/>
    </w:pPr>
  </w:style>
  <w:style w:type="character" w:styleId="PageNumber">
    <w:name w:val="page number"/>
    <w:rPr>
      <w:rFonts w:ascii="Times New Roman" w:hAnsi="Times New Roman"/>
      <w:i/>
      <w:sz w:val="20"/>
      <w:vertAlign w:val="baseline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/>
      <w:ind w:left="840" w:right="-1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b/>
      <w:sz w:val="24"/>
    </w:rPr>
  </w:style>
  <w:style w:type="paragraph" w:customStyle="1" w:styleId="Continuation">
    <w:name w:val="Continuation"/>
    <w:basedOn w:val="Normal"/>
    <w:next w:val="Normal"/>
    <w:pPr>
      <w:spacing w:after="120" w:line="360" w:lineRule="auto"/>
    </w:pPr>
    <w:rPr>
      <w:rFonts w:ascii="Courier New" w:hAnsi="Courier New"/>
      <w:sz w:val="24"/>
      <w:lang w:val="en-GB" w:eastAsia="en-US"/>
    </w:rPr>
  </w:style>
  <w:style w:type="table" w:styleId="TableGrid">
    <w:name w:val="Table Grid"/>
    <w:basedOn w:val="TableNormal"/>
    <w:rsid w:val="00C2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6CF"/>
    <w:pPr>
      <w:ind w:left="720"/>
    </w:pPr>
  </w:style>
  <w:style w:type="paragraph" w:styleId="BalloonText">
    <w:name w:val="Balloon Text"/>
    <w:basedOn w:val="Normal"/>
    <w:link w:val="BalloonTextChar"/>
    <w:rsid w:val="00EB69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B69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R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SRC Letterhead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IT Assist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murtaghm2</dc:creator>
  <cp:lastModifiedBy>Kerry McIlwaine</cp:lastModifiedBy>
  <cp:revision>2</cp:revision>
  <cp:lastPrinted>2016-12-09T10:27:00Z</cp:lastPrinted>
  <dcterms:created xsi:type="dcterms:W3CDTF">2019-10-03T09:58:00Z</dcterms:created>
  <dcterms:modified xsi:type="dcterms:W3CDTF">2019-10-03T09:58:00Z</dcterms:modified>
</cp:coreProperties>
</file>